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2249" w:firstLineChars="800"/>
        <w:jc w:val="both"/>
        <w:rPr>
          <w:rFonts w:hAnsi="宋体"/>
          <w:b/>
          <w:sz w:val="24"/>
        </w:rPr>
      </w:pPr>
      <w:r>
        <w:rPr>
          <w:rFonts w:hAnsi="宋体"/>
          <w:b/>
          <w:sz w:val="28"/>
          <w:szCs w:val="28"/>
        </w:rPr>
        <w:t>近年</w:t>
      </w:r>
      <w:r>
        <w:rPr>
          <w:rFonts w:hint="eastAsia" w:hAnsi="宋体"/>
          <w:b/>
          <w:sz w:val="28"/>
          <w:szCs w:val="28"/>
        </w:rPr>
        <w:t>承担</w:t>
      </w:r>
      <w:r>
        <w:rPr>
          <w:rFonts w:hAnsi="宋体"/>
          <w:b/>
          <w:sz w:val="28"/>
          <w:szCs w:val="28"/>
        </w:rPr>
        <w:t>类似项目情况表</w:t>
      </w:r>
    </w:p>
    <w:p>
      <w:pPr>
        <w:pStyle w:val="2"/>
        <w:ind w:left="0" w:leftChars="0" w:firstLine="0" w:firstLineChars="0"/>
        <w:jc w:val="center"/>
        <w:rPr>
          <w:rFonts w:hint="eastAsia"/>
        </w:rPr>
      </w:pPr>
      <w:r>
        <w:rPr>
          <w:rFonts w:hint="eastAsia" w:ascii="宋体" w:hAnsi="宋体" w:cs="宋体"/>
          <w:kern w:val="0"/>
          <w:szCs w:val="21"/>
        </w:rPr>
        <w:t>（自2016年1月1日起至今）</w:t>
      </w:r>
    </w:p>
    <w:tbl>
      <w:tblPr>
        <w:tblStyle w:val="4"/>
        <w:tblpPr w:leftFromText="180" w:rightFromText="180" w:vertAnchor="text" w:horzAnchor="page" w:tblpX="1588" w:tblpY="359"/>
        <w:tblOverlap w:val="never"/>
        <w:tblW w:w="89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2614"/>
        <w:gridCol w:w="1076"/>
        <w:gridCol w:w="1623"/>
        <w:gridCol w:w="86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trPr>
        <w:tc>
          <w:tcPr>
            <w:tcW w:w="613"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序号</w:t>
            </w:r>
          </w:p>
        </w:tc>
        <w:tc>
          <w:tcPr>
            <w:tcW w:w="2614"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项目名称</w:t>
            </w:r>
          </w:p>
        </w:tc>
        <w:tc>
          <w:tcPr>
            <w:tcW w:w="1076"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里程长 度（km）</w:t>
            </w:r>
          </w:p>
        </w:tc>
        <w:tc>
          <w:tcPr>
            <w:tcW w:w="1623"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养护工作内容</w:t>
            </w:r>
          </w:p>
        </w:tc>
        <w:tc>
          <w:tcPr>
            <w:tcW w:w="864"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合同签订日期</w:t>
            </w:r>
          </w:p>
        </w:tc>
        <w:tc>
          <w:tcPr>
            <w:tcW w:w="2177"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7" w:hRule="exact"/>
        </w:trPr>
        <w:tc>
          <w:tcPr>
            <w:tcW w:w="613"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1</w:t>
            </w:r>
          </w:p>
        </w:tc>
        <w:tc>
          <w:tcPr>
            <w:tcW w:w="2614"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国道210线达州至重庆高速公路日常养护工程项目RYH3标段</w:t>
            </w:r>
          </w:p>
        </w:tc>
        <w:tc>
          <w:tcPr>
            <w:tcW w:w="1076"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153.301</w:t>
            </w:r>
          </w:p>
        </w:tc>
        <w:tc>
          <w:tcPr>
            <w:tcW w:w="1623"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道路巡查、交安设施维修、排水设施的清理和修复、桥梁维修等</w:t>
            </w:r>
          </w:p>
        </w:tc>
        <w:tc>
          <w:tcPr>
            <w:tcW w:w="864"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2016年1月1日</w:t>
            </w:r>
          </w:p>
        </w:tc>
        <w:tc>
          <w:tcPr>
            <w:tcW w:w="2177"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四川达渝高速公路建设开发有限公司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1" w:hRule="exact"/>
        </w:trPr>
        <w:tc>
          <w:tcPr>
            <w:tcW w:w="613"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2</w:t>
            </w:r>
          </w:p>
        </w:tc>
        <w:tc>
          <w:tcPr>
            <w:tcW w:w="2614"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ascii="宋体" w:hAnsi="宋体"/>
                <w:szCs w:val="21"/>
              </w:rPr>
              <w:t>川东高速公路罗江至川渝界邻水至垫江包茂G65(K1323-K1488+800)泸蓉G42(K1626-K1661+501)</w:t>
            </w:r>
            <w:r>
              <w:rPr>
                <w:rFonts w:hint="eastAsia" w:hAnsi="宋体"/>
                <w:szCs w:val="21"/>
              </w:rPr>
              <w:t>第LMYH标段</w:t>
            </w:r>
          </w:p>
        </w:tc>
        <w:tc>
          <w:tcPr>
            <w:tcW w:w="1076"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201.301</w:t>
            </w:r>
          </w:p>
        </w:tc>
        <w:tc>
          <w:tcPr>
            <w:tcW w:w="1623"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路面零星坑槽、网裂的修补、沉陷集中处治</w:t>
            </w:r>
          </w:p>
        </w:tc>
        <w:tc>
          <w:tcPr>
            <w:tcW w:w="864" w:type="dxa"/>
            <w:shd w:val="clear" w:color="auto" w:fill="auto"/>
            <w:noWrap w:val="0"/>
            <w:vAlign w:val="center"/>
          </w:tcPr>
          <w:p>
            <w:pPr>
              <w:pStyle w:val="2"/>
              <w:ind w:left="0" w:leftChars="0" w:firstLine="0" w:firstLineChars="0"/>
              <w:jc w:val="center"/>
              <w:rPr>
                <w:rFonts w:hint="eastAsia" w:ascii="宋体" w:hAnsi="宋体" w:cs="宋体"/>
              </w:rPr>
            </w:pPr>
            <w:r>
              <w:rPr>
                <w:rFonts w:hint="eastAsia" w:hAnsi="宋体"/>
                <w:szCs w:val="21"/>
              </w:rPr>
              <w:t>2016年1月1日</w:t>
            </w:r>
          </w:p>
        </w:tc>
        <w:tc>
          <w:tcPr>
            <w:tcW w:w="2177" w:type="dxa"/>
            <w:shd w:val="clear" w:color="auto" w:fill="auto"/>
            <w:noWrap w:val="0"/>
            <w:vAlign w:val="center"/>
          </w:tcPr>
          <w:p>
            <w:pPr>
              <w:pStyle w:val="2"/>
              <w:ind w:left="0" w:leftChars="0" w:firstLine="0" w:firstLineChars="0"/>
              <w:jc w:val="center"/>
              <w:rPr>
                <w:rFonts w:hint="eastAsia" w:ascii="宋体" w:hAnsi="宋体" w:cs="宋体"/>
              </w:rPr>
            </w:pPr>
            <w:r>
              <w:rPr>
                <w:rFonts w:hint="eastAsia" w:hAnsi="宋体"/>
                <w:szCs w:val="21"/>
              </w:rPr>
              <w:t>四川达渝高速公路建设开发有限公司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3" w:hRule="exact"/>
        </w:trPr>
        <w:tc>
          <w:tcPr>
            <w:tcW w:w="613"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3</w:t>
            </w:r>
          </w:p>
        </w:tc>
        <w:tc>
          <w:tcPr>
            <w:tcW w:w="2614"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ascii="宋体" w:hAnsi="宋体"/>
                <w:szCs w:val="21"/>
              </w:rPr>
              <w:t>南广邻高速公路日常养护项</w:t>
            </w:r>
            <w:r>
              <w:rPr>
                <w:rFonts w:hint="eastAsia" w:hAnsi="宋体"/>
                <w:szCs w:val="21"/>
              </w:rPr>
              <w:t>第 YH3 标段</w:t>
            </w:r>
          </w:p>
        </w:tc>
        <w:tc>
          <w:tcPr>
            <w:tcW w:w="1076"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105.419</w:t>
            </w:r>
          </w:p>
        </w:tc>
        <w:tc>
          <w:tcPr>
            <w:tcW w:w="1623"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路面、交安设施等的维修保养</w:t>
            </w:r>
          </w:p>
        </w:tc>
        <w:tc>
          <w:tcPr>
            <w:tcW w:w="864"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2016年1月1日</w:t>
            </w:r>
          </w:p>
        </w:tc>
        <w:tc>
          <w:tcPr>
            <w:tcW w:w="2177"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四川川东高速公路有限责任公司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exact"/>
        </w:trPr>
        <w:tc>
          <w:tcPr>
            <w:tcW w:w="613"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4</w:t>
            </w:r>
          </w:p>
        </w:tc>
        <w:tc>
          <w:tcPr>
            <w:tcW w:w="2614"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ascii="宋体" w:hAnsi="宋体"/>
                <w:szCs w:val="21"/>
              </w:rPr>
              <w:t>巴广渝高速公路交安日常养护项目</w:t>
            </w:r>
            <w:r>
              <w:rPr>
                <w:rFonts w:hint="eastAsia" w:hAnsi="宋体"/>
                <w:szCs w:val="21"/>
              </w:rPr>
              <w:t>第JAYH标段</w:t>
            </w:r>
          </w:p>
        </w:tc>
        <w:tc>
          <w:tcPr>
            <w:tcW w:w="1076" w:type="dxa"/>
            <w:shd w:val="clear" w:color="auto" w:fill="auto"/>
            <w:noWrap w:val="0"/>
            <w:vAlign w:val="center"/>
          </w:tcPr>
          <w:p>
            <w:pPr>
              <w:pStyle w:val="2"/>
              <w:ind w:left="0" w:leftChars="0" w:firstLine="0" w:firstLineChars="0"/>
              <w:jc w:val="center"/>
              <w:rPr>
                <w:rFonts w:hint="eastAsia" w:ascii="宋体" w:hAnsi="宋体" w:cs="宋体"/>
                <w:szCs w:val="21"/>
              </w:rPr>
            </w:pPr>
          </w:p>
        </w:tc>
        <w:tc>
          <w:tcPr>
            <w:tcW w:w="1623"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交安设施的维修保养</w:t>
            </w:r>
          </w:p>
        </w:tc>
        <w:tc>
          <w:tcPr>
            <w:tcW w:w="864"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2016 年9月1日</w:t>
            </w:r>
          </w:p>
        </w:tc>
        <w:tc>
          <w:tcPr>
            <w:tcW w:w="2177" w:type="dxa"/>
            <w:shd w:val="clear" w:color="auto" w:fill="auto"/>
            <w:noWrap w:val="0"/>
            <w:vAlign w:val="center"/>
          </w:tcPr>
          <w:p>
            <w:pPr>
              <w:pStyle w:val="2"/>
              <w:ind w:left="0" w:leftChars="0" w:firstLine="0" w:firstLineChars="0"/>
              <w:jc w:val="center"/>
              <w:rPr>
                <w:rFonts w:hint="eastAsia" w:ascii="宋体" w:hAnsi="宋体" w:cs="宋体"/>
                <w:szCs w:val="21"/>
              </w:rPr>
            </w:pPr>
            <w:r>
              <w:rPr>
                <w:rFonts w:hint="eastAsia" w:hAnsi="宋体"/>
                <w:szCs w:val="21"/>
              </w:rPr>
              <w:t>四川巴广渝高速公路开发有限责任公司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trPr>
        <w:tc>
          <w:tcPr>
            <w:tcW w:w="613"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5</w:t>
            </w:r>
          </w:p>
        </w:tc>
        <w:tc>
          <w:tcPr>
            <w:tcW w:w="2614" w:type="dxa"/>
            <w:shd w:val="clear" w:color="auto" w:fill="auto"/>
            <w:noWrap w:val="0"/>
            <w:vAlign w:val="center"/>
          </w:tcPr>
          <w:p>
            <w:pPr>
              <w:pStyle w:val="2"/>
              <w:ind w:left="0" w:leftChars="0" w:firstLine="0" w:firstLineChars="0"/>
              <w:jc w:val="center"/>
              <w:rPr>
                <w:rFonts w:hint="eastAsia" w:ascii="宋体" w:hAnsi="宋体" w:cs="宋体"/>
                <w:szCs w:val="21"/>
              </w:rPr>
            </w:pPr>
          </w:p>
        </w:tc>
        <w:tc>
          <w:tcPr>
            <w:tcW w:w="1076" w:type="dxa"/>
            <w:shd w:val="clear" w:color="auto" w:fill="auto"/>
            <w:noWrap w:val="0"/>
            <w:vAlign w:val="center"/>
          </w:tcPr>
          <w:p>
            <w:pPr>
              <w:pStyle w:val="2"/>
              <w:ind w:left="0" w:leftChars="0" w:firstLine="0" w:firstLineChars="0"/>
              <w:jc w:val="center"/>
              <w:rPr>
                <w:rFonts w:hint="eastAsia" w:ascii="宋体" w:hAnsi="宋体" w:cs="宋体"/>
                <w:szCs w:val="21"/>
              </w:rPr>
            </w:pPr>
          </w:p>
        </w:tc>
        <w:tc>
          <w:tcPr>
            <w:tcW w:w="1623" w:type="dxa"/>
            <w:shd w:val="clear" w:color="auto" w:fill="auto"/>
            <w:noWrap w:val="0"/>
            <w:vAlign w:val="center"/>
          </w:tcPr>
          <w:p>
            <w:pPr>
              <w:pStyle w:val="2"/>
              <w:ind w:left="0" w:leftChars="0" w:firstLine="0" w:firstLineChars="0"/>
              <w:jc w:val="center"/>
              <w:rPr>
                <w:rFonts w:hint="eastAsia" w:ascii="宋体" w:hAnsi="宋体" w:cs="宋体"/>
              </w:rPr>
            </w:pPr>
          </w:p>
        </w:tc>
        <w:tc>
          <w:tcPr>
            <w:tcW w:w="864" w:type="dxa"/>
            <w:shd w:val="clear" w:color="auto" w:fill="auto"/>
            <w:noWrap w:val="0"/>
            <w:vAlign w:val="center"/>
          </w:tcPr>
          <w:p>
            <w:pPr>
              <w:pStyle w:val="2"/>
              <w:ind w:left="0" w:leftChars="0" w:firstLine="0" w:firstLineChars="0"/>
              <w:jc w:val="center"/>
              <w:rPr>
                <w:rFonts w:hint="eastAsia" w:ascii="宋体" w:hAnsi="宋体" w:cs="宋体"/>
              </w:rPr>
            </w:pPr>
          </w:p>
        </w:tc>
        <w:tc>
          <w:tcPr>
            <w:tcW w:w="2177" w:type="dxa"/>
            <w:shd w:val="clear" w:color="auto" w:fill="auto"/>
            <w:noWrap w:val="0"/>
            <w:vAlign w:val="center"/>
          </w:tcPr>
          <w:p>
            <w:pPr>
              <w:pStyle w:val="2"/>
              <w:ind w:left="0" w:leftChars="0" w:firstLine="0" w:firstLineChars="0"/>
              <w:jc w:val="center"/>
              <w:rPr>
                <w:rFonts w:hint="eastAsia"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trPr>
        <w:tc>
          <w:tcPr>
            <w:tcW w:w="613"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6</w:t>
            </w:r>
          </w:p>
        </w:tc>
        <w:tc>
          <w:tcPr>
            <w:tcW w:w="2614" w:type="dxa"/>
            <w:shd w:val="clear" w:color="auto" w:fill="auto"/>
            <w:noWrap w:val="0"/>
            <w:vAlign w:val="center"/>
          </w:tcPr>
          <w:p>
            <w:pPr>
              <w:pStyle w:val="2"/>
              <w:ind w:left="0" w:leftChars="0" w:firstLine="0" w:firstLineChars="0"/>
              <w:jc w:val="center"/>
              <w:rPr>
                <w:rFonts w:hint="eastAsia" w:ascii="宋体" w:hAnsi="宋体" w:cs="宋体"/>
              </w:rPr>
            </w:pPr>
          </w:p>
        </w:tc>
        <w:tc>
          <w:tcPr>
            <w:tcW w:w="1076" w:type="dxa"/>
            <w:shd w:val="clear" w:color="auto" w:fill="auto"/>
            <w:noWrap w:val="0"/>
            <w:vAlign w:val="center"/>
          </w:tcPr>
          <w:p>
            <w:pPr>
              <w:pStyle w:val="2"/>
              <w:ind w:left="0" w:leftChars="0" w:firstLine="0" w:firstLineChars="0"/>
              <w:jc w:val="center"/>
              <w:rPr>
                <w:rFonts w:hint="eastAsia" w:ascii="宋体" w:hAnsi="宋体" w:cs="宋体"/>
              </w:rPr>
            </w:pPr>
          </w:p>
        </w:tc>
        <w:tc>
          <w:tcPr>
            <w:tcW w:w="1623" w:type="dxa"/>
            <w:shd w:val="clear" w:color="auto" w:fill="auto"/>
            <w:noWrap w:val="0"/>
            <w:vAlign w:val="center"/>
          </w:tcPr>
          <w:p>
            <w:pPr>
              <w:pStyle w:val="2"/>
              <w:ind w:left="0" w:leftChars="0" w:firstLine="0" w:firstLineChars="0"/>
              <w:jc w:val="center"/>
              <w:rPr>
                <w:rFonts w:hint="eastAsia" w:ascii="宋体" w:hAnsi="宋体" w:cs="宋体"/>
              </w:rPr>
            </w:pPr>
          </w:p>
        </w:tc>
        <w:tc>
          <w:tcPr>
            <w:tcW w:w="864" w:type="dxa"/>
            <w:shd w:val="clear" w:color="auto" w:fill="auto"/>
            <w:noWrap w:val="0"/>
            <w:vAlign w:val="center"/>
          </w:tcPr>
          <w:p>
            <w:pPr>
              <w:pStyle w:val="2"/>
              <w:ind w:left="0" w:leftChars="0" w:firstLine="0" w:firstLineChars="0"/>
              <w:jc w:val="center"/>
              <w:rPr>
                <w:rFonts w:hint="eastAsia" w:ascii="宋体" w:hAnsi="宋体" w:cs="宋体"/>
              </w:rPr>
            </w:pPr>
          </w:p>
        </w:tc>
        <w:tc>
          <w:tcPr>
            <w:tcW w:w="2177" w:type="dxa"/>
            <w:shd w:val="clear" w:color="auto" w:fill="auto"/>
            <w:noWrap w:val="0"/>
            <w:vAlign w:val="center"/>
          </w:tcPr>
          <w:p>
            <w:pPr>
              <w:pStyle w:val="2"/>
              <w:ind w:left="0" w:leftChars="0" w:firstLine="0" w:firstLineChars="0"/>
              <w:jc w:val="center"/>
              <w:rPr>
                <w:rFonts w:hint="eastAsia"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trPr>
        <w:tc>
          <w:tcPr>
            <w:tcW w:w="613"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7</w:t>
            </w:r>
          </w:p>
        </w:tc>
        <w:tc>
          <w:tcPr>
            <w:tcW w:w="2614" w:type="dxa"/>
            <w:shd w:val="clear" w:color="auto" w:fill="auto"/>
            <w:noWrap w:val="0"/>
            <w:vAlign w:val="center"/>
          </w:tcPr>
          <w:p>
            <w:pPr>
              <w:pStyle w:val="2"/>
              <w:ind w:left="0" w:leftChars="0" w:firstLine="0" w:firstLineChars="0"/>
              <w:jc w:val="center"/>
              <w:rPr>
                <w:rFonts w:hint="eastAsia" w:ascii="宋体" w:hAnsi="宋体" w:cs="宋体"/>
              </w:rPr>
            </w:pPr>
          </w:p>
        </w:tc>
        <w:tc>
          <w:tcPr>
            <w:tcW w:w="1076" w:type="dxa"/>
            <w:shd w:val="clear" w:color="auto" w:fill="auto"/>
            <w:noWrap w:val="0"/>
            <w:vAlign w:val="center"/>
          </w:tcPr>
          <w:p>
            <w:pPr>
              <w:pStyle w:val="2"/>
              <w:ind w:left="0" w:leftChars="0" w:firstLine="0" w:firstLineChars="0"/>
              <w:jc w:val="center"/>
              <w:rPr>
                <w:rFonts w:hint="eastAsia" w:ascii="宋体" w:hAnsi="宋体" w:cs="宋体"/>
              </w:rPr>
            </w:pPr>
          </w:p>
        </w:tc>
        <w:tc>
          <w:tcPr>
            <w:tcW w:w="1623" w:type="dxa"/>
            <w:shd w:val="clear" w:color="auto" w:fill="auto"/>
            <w:noWrap w:val="0"/>
            <w:vAlign w:val="center"/>
          </w:tcPr>
          <w:p>
            <w:pPr>
              <w:pStyle w:val="2"/>
              <w:ind w:left="0" w:leftChars="0" w:firstLine="0" w:firstLineChars="0"/>
              <w:jc w:val="center"/>
              <w:rPr>
                <w:rFonts w:hint="eastAsia" w:ascii="宋体" w:hAnsi="宋体" w:cs="宋体"/>
              </w:rPr>
            </w:pPr>
          </w:p>
        </w:tc>
        <w:tc>
          <w:tcPr>
            <w:tcW w:w="864" w:type="dxa"/>
            <w:shd w:val="clear" w:color="auto" w:fill="auto"/>
            <w:noWrap w:val="0"/>
            <w:vAlign w:val="center"/>
          </w:tcPr>
          <w:p>
            <w:pPr>
              <w:pStyle w:val="2"/>
              <w:ind w:left="0" w:leftChars="0" w:firstLine="0" w:firstLineChars="0"/>
              <w:jc w:val="center"/>
              <w:rPr>
                <w:rFonts w:hint="eastAsia" w:ascii="宋体" w:hAnsi="宋体" w:cs="宋体"/>
              </w:rPr>
            </w:pPr>
          </w:p>
        </w:tc>
        <w:tc>
          <w:tcPr>
            <w:tcW w:w="2177" w:type="dxa"/>
            <w:shd w:val="clear" w:color="auto" w:fill="auto"/>
            <w:noWrap w:val="0"/>
            <w:vAlign w:val="center"/>
          </w:tcPr>
          <w:p>
            <w:pPr>
              <w:pStyle w:val="2"/>
              <w:ind w:left="0" w:leftChars="0" w:firstLine="0" w:firstLineChars="0"/>
              <w:jc w:val="center"/>
              <w:rPr>
                <w:rFonts w:hint="eastAsia"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trPr>
        <w:tc>
          <w:tcPr>
            <w:tcW w:w="613" w:type="dxa"/>
            <w:shd w:val="clear" w:color="auto" w:fill="auto"/>
            <w:noWrap w:val="0"/>
            <w:vAlign w:val="center"/>
          </w:tcPr>
          <w:p>
            <w:pPr>
              <w:pStyle w:val="2"/>
              <w:ind w:left="0" w:leftChars="0" w:firstLine="0" w:firstLineChars="0"/>
              <w:jc w:val="center"/>
              <w:rPr>
                <w:rFonts w:hint="eastAsia" w:ascii="宋体" w:hAnsi="宋体" w:cs="宋体"/>
              </w:rPr>
            </w:pPr>
            <w:r>
              <w:rPr>
                <w:rFonts w:hint="eastAsia" w:ascii="宋体" w:hAnsi="宋体" w:cs="宋体"/>
              </w:rPr>
              <w:t>…</w:t>
            </w:r>
          </w:p>
        </w:tc>
        <w:tc>
          <w:tcPr>
            <w:tcW w:w="2614" w:type="dxa"/>
            <w:shd w:val="clear" w:color="auto" w:fill="auto"/>
            <w:noWrap w:val="0"/>
            <w:vAlign w:val="center"/>
          </w:tcPr>
          <w:p>
            <w:pPr>
              <w:pStyle w:val="2"/>
              <w:ind w:left="0" w:leftChars="0" w:firstLine="0" w:firstLineChars="0"/>
              <w:jc w:val="center"/>
              <w:rPr>
                <w:rFonts w:hint="eastAsia" w:ascii="宋体" w:hAnsi="宋体" w:cs="宋体"/>
              </w:rPr>
            </w:pPr>
          </w:p>
        </w:tc>
        <w:tc>
          <w:tcPr>
            <w:tcW w:w="1076" w:type="dxa"/>
            <w:shd w:val="clear" w:color="auto" w:fill="auto"/>
            <w:noWrap w:val="0"/>
            <w:vAlign w:val="center"/>
          </w:tcPr>
          <w:p>
            <w:pPr>
              <w:pStyle w:val="2"/>
              <w:ind w:left="0" w:leftChars="0" w:firstLine="0" w:firstLineChars="0"/>
              <w:jc w:val="center"/>
              <w:rPr>
                <w:rFonts w:hint="eastAsia" w:ascii="宋体" w:hAnsi="宋体" w:cs="宋体"/>
              </w:rPr>
            </w:pPr>
          </w:p>
        </w:tc>
        <w:tc>
          <w:tcPr>
            <w:tcW w:w="1623" w:type="dxa"/>
            <w:shd w:val="clear" w:color="auto" w:fill="auto"/>
            <w:noWrap w:val="0"/>
            <w:vAlign w:val="center"/>
          </w:tcPr>
          <w:p>
            <w:pPr>
              <w:pStyle w:val="2"/>
              <w:ind w:left="0" w:leftChars="0" w:firstLine="0" w:firstLineChars="0"/>
              <w:jc w:val="center"/>
              <w:rPr>
                <w:rFonts w:hint="eastAsia" w:ascii="宋体" w:hAnsi="宋体" w:cs="宋体"/>
              </w:rPr>
            </w:pPr>
          </w:p>
        </w:tc>
        <w:tc>
          <w:tcPr>
            <w:tcW w:w="864" w:type="dxa"/>
            <w:shd w:val="clear" w:color="auto" w:fill="auto"/>
            <w:noWrap w:val="0"/>
            <w:vAlign w:val="center"/>
          </w:tcPr>
          <w:p>
            <w:pPr>
              <w:pStyle w:val="2"/>
              <w:ind w:left="0" w:leftChars="0" w:firstLine="0" w:firstLineChars="0"/>
              <w:jc w:val="center"/>
              <w:rPr>
                <w:rFonts w:hint="eastAsia" w:ascii="宋体" w:hAnsi="宋体" w:cs="宋体"/>
              </w:rPr>
            </w:pPr>
          </w:p>
        </w:tc>
        <w:tc>
          <w:tcPr>
            <w:tcW w:w="2177" w:type="dxa"/>
            <w:shd w:val="clear" w:color="auto" w:fill="auto"/>
            <w:noWrap w:val="0"/>
            <w:vAlign w:val="center"/>
          </w:tcPr>
          <w:p>
            <w:pPr>
              <w:pStyle w:val="2"/>
              <w:ind w:left="0" w:leftChars="0" w:firstLine="0" w:firstLineChars="0"/>
              <w:jc w:val="center"/>
              <w:rPr>
                <w:rFonts w:hint="eastAsia" w:ascii="宋体" w:hAnsi="宋体" w:cs="宋体"/>
              </w:rPr>
            </w:pPr>
          </w:p>
        </w:tc>
      </w:tr>
    </w:tbl>
    <w:p>
      <w:pPr>
        <w:pStyle w:val="2"/>
        <w:ind w:left="0" w:leftChars="0" w:firstLine="0" w:firstLineChars="0"/>
      </w:pPr>
    </w:p>
    <w:p>
      <w:pPr>
        <w:pStyle w:val="2"/>
        <w:spacing w:after="0"/>
        <w:ind w:left="0" w:leftChars="0" w:firstLine="0" w:firstLineChars="0"/>
        <w:rPr>
          <w:rFonts w:hint="eastAsia"/>
        </w:rPr>
      </w:pPr>
      <w:r>
        <w:rPr>
          <w:rFonts w:hint="eastAsia"/>
        </w:rPr>
        <w:t>注：</w:t>
      </w:r>
    </w:p>
    <w:p>
      <w:pPr>
        <w:ind w:firstLine="420" w:firstLineChars="200"/>
        <w:rPr>
          <w:rFonts w:hint="eastAsia" w:ascii="宋体" w:hAnsi="宋体" w:cs="宋体"/>
        </w:rPr>
      </w:pPr>
      <w:r>
        <w:rPr>
          <w:rFonts w:hint="eastAsia" w:ascii="宋体" w:hAnsi="宋体" w:cs="宋体"/>
        </w:rPr>
        <w:t>1.</w:t>
      </w:r>
      <w:r>
        <w:rPr>
          <w:rFonts w:hint="eastAsia" w:ascii="宋体" w:hAnsi="宋体" w:cs="宋体"/>
          <w:kern w:val="0"/>
          <w:szCs w:val="21"/>
        </w:rPr>
        <w:t>近5年（自2016年1月1日起至今，以签订合同</w:t>
      </w:r>
      <w:bookmarkStart w:id="0" w:name="_GoBack"/>
      <w:bookmarkEnd w:id="0"/>
      <w:r>
        <w:rPr>
          <w:rFonts w:hint="eastAsia" w:ascii="宋体" w:hAnsi="宋体" w:cs="宋体"/>
          <w:kern w:val="0"/>
          <w:szCs w:val="21"/>
        </w:rPr>
        <w:t>时间为准）独立完成高速公路</w:t>
      </w:r>
      <w:r>
        <w:rPr>
          <w:rFonts w:hint="eastAsia" w:hAnsi="宋体" w:cs="Courier New"/>
        </w:rPr>
        <w:t>小修保养（或日常养护）</w:t>
      </w:r>
      <w:r>
        <w:rPr>
          <w:rFonts w:hint="eastAsia" w:ascii="宋体" w:hAnsi="宋体" w:cs="宋体"/>
          <w:kern w:val="0"/>
          <w:szCs w:val="21"/>
        </w:rPr>
        <w:t>项目的业绩填入本表。（附注：</w:t>
      </w:r>
      <w:r>
        <w:rPr>
          <w:rFonts w:hint="eastAsia" w:ascii="宋体" w:hAnsi="宋体" w:cs="宋体"/>
        </w:rPr>
        <w:fldChar w:fldCharType="begin"/>
      </w:r>
      <w:r>
        <w:rPr>
          <w:rFonts w:hint="eastAsia" w:ascii="宋体" w:hAnsi="宋体" w:cs="宋体"/>
        </w:rPr>
        <w:instrText xml:space="preserve"> = 1 \* GB3 \* MERGEFORMAT </w:instrText>
      </w:r>
      <w:r>
        <w:rPr>
          <w:rFonts w:hint="eastAsia" w:ascii="宋体" w:hAnsi="宋体" w:cs="宋体"/>
        </w:rPr>
        <w:fldChar w:fldCharType="separate"/>
      </w:r>
      <w:r>
        <w:rPr>
          <w:rFonts w:hint="eastAsia" w:ascii="宋体" w:hAnsi="宋体" w:cs="宋体"/>
        </w:rPr>
        <w:t>①</w:t>
      </w:r>
      <w:r>
        <w:rPr>
          <w:rFonts w:hint="eastAsia" w:ascii="宋体" w:hAnsi="宋体" w:cs="宋体"/>
        </w:rPr>
        <w:fldChar w:fldCharType="end"/>
      </w:r>
      <w:r>
        <w:rPr>
          <w:rFonts w:hint="eastAsia" w:ascii="宋体" w:hAnsi="宋体" w:cs="宋体"/>
        </w:rPr>
        <w:t>本次招标不接受施工分包和劳务合作项目业绩；</w:t>
      </w:r>
      <w:r>
        <w:rPr>
          <w:rFonts w:hint="eastAsia" w:ascii="宋体" w:hAnsi="宋体" w:cs="宋体"/>
        </w:rPr>
        <w:fldChar w:fldCharType="begin"/>
      </w:r>
      <w:r>
        <w:rPr>
          <w:rFonts w:hint="eastAsia" w:ascii="宋体" w:hAnsi="宋体" w:cs="宋体"/>
        </w:rPr>
        <w:instrText xml:space="preserve"> = 2 \* GB3 \* MERGEFORMAT </w:instrText>
      </w:r>
      <w:r>
        <w:rPr>
          <w:rFonts w:hint="eastAsia" w:ascii="宋体" w:hAnsi="宋体" w:cs="宋体"/>
        </w:rPr>
        <w:fldChar w:fldCharType="separate"/>
      </w:r>
      <w:r>
        <w:rPr>
          <w:rFonts w:hint="eastAsia" w:ascii="宋体" w:hAnsi="宋体" w:cs="宋体"/>
        </w:rPr>
        <w:t>②</w:t>
      </w:r>
      <w:r>
        <w:rPr>
          <w:rFonts w:hint="eastAsia" w:ascii="宋体" w:hAnsi="宋体" w:cs="宋体"/>
        </w:rPr>
        <w:fldChar w:fldCharType="end"/>
      </w:r>
      <w:r>
        <w:rPr>
          <w:rFonts w:hint="eastAsia" w:ascii="宋体" w:hAnsi="宋体" w:cs="宋体"/>
        </w:rPr>
        <w:t>里程是指高速公路主线长度（不含匝道、连接线；上下行不分开计算）；</w:t>
      </w:r>
      <w:r>
        <w:rPr>
          <w:rFonts w:hint="eastAsia" w:ascii="宋体" w:hAnsi="宋体" w:cs="宋体"/>
        </w:rPr>
        <w:fldChar w:fldCharType="begin"/>
      </w:r>
      <w:r>
        <w:rPr>
          <w:rFonts w:hint="eastAsia" w:ascii="宋体" w:hAnsi="宋体" w:cs="宋体"/>
        </w:rPr>
        <w:instrText xml:space="preserve"> = 3 \* GB3 \* MERGEFORMAT </w:instrText>
      </w:r>
      <w:r>
        <w:rPr>
          <w:rFonts w:hint="eastAsia" w:ascii="宋体" w:hAnsi="宋体" w:cs="宋体"/>
        </w:rPr>
        <w:fldChar w:fldCharType="separate"/>
      </w:r>
      <w:r>
        <w:t>③</w:t>
      </w:r>
      <w:r>
        <w:rPr>
          <w:rFonts w:hint="eastAsia" w:ascii="宋体" w:hAnsi="宋体" w:cs="宋体"/>
        </w:rPr>
        <w:fldChar w:fldCharType="end"/>
      </w:r>
      <w:r>
        <w:rPr>
          <w:rFonts w:hint="eastAsia" w:ascii="宋体" w:hAnsi="宋体" w:cs="宋体"/>
        </w:rPr>
        <w:t>以顺延年（即从签订合同当天起向后顺延12个月）为单位计算业绩；</w:t>
      </w:r>
      <w:r>
        <w:rPr>
          <w:rFonts w:hint="eastAsia" w:ascii="宋体" w:hAnsi="宋体" w:cs="宋体"/>
          <w:szCs w:val="21"/>
        </w:rPr>
        <w:t>④</w:t>
      </w:r>
      <w:r>
        <w:rPr>
          <w:rFonts w:hint="eastAsia" w:ascii="宋体" w:hAnsi="宋体" w:cs="宋体"/>
        </w:rPr>
        <w:t>业绩认定按照“第三章评标办法”执行。</w:t>
      </w:r>
      <w:r>
        <w:rPr>
          <w:rFonts w:hint="eastAsia" w:ascii="宋体" w:hAnsi="宋体" w:cs="宋体"/>
          <w:kern w:val="0"/>
          <w:szCs w:val="21"/>
        </w:rPr>
        <w:t>）</w:t>
      </w:r>
    </w:p>
    <w:p>
      <w:pPr>
        <w:pStyle w:val="2"/>
        <w:spacing w:after="0"/>
        <w:ind w:left="0" w:leftChars="0"/>
        <w:rPr>
          <w:rFonts w:hint="eastAsia" w:ascii="宋体" w:hAnsi="宋体" w:cs="宋体"/>
        </w:rPr>
      </w:pPr>
      <w:r>
        <w:rPr>
          <w:rFonts w:hint="eastAsia" w:ascii="宋体" w:hAnsi="宋体" w:cs="宋体"/>
        </w:rPr>
        <w:t>2.施工业绩应附以下证明材料：</w:t>
      </w:r>
    </w:p>
    <w:p>
      <w:pPr>
        <w:pStyle w:val="2"/>
        <w:spacing w:after="0"/>
        <w:ind w:left="0" w:leftChars="0"/>
        <w:rPr>
          <w:rFonts w:hint="eastAsia" w:ascii="宋体" w:hAnsi="宋体" w:cs="宋体"/>
        </w:rPr>
      </w:pPr>
      <w:r>
        <w:rPr>
          <w:rFonts w:hint="eastAsia" w:ascii="宋体" w:hAnsi="宋体" w:cs="宋体"/>
        </w:rPr>
        <w:fldChar w:fldCharType="begin"/>
      </w:r>
      <w:r>
        <w:rPr>
          <w:rFonts w:hint="eastAsia" w:ascii="宋体" w:hAnsi="宋体" w:cs="宋体"/>
        </w:rPr>
        <w:instrText xml:space="preserve"> = 1 \* GB3 \* MERGEFORMAT </w:instrText>
      </w:r>
      <w:r>
        <w:rPr>
          <w:rFonts w:hint="eastAsia" w:ascii="宋体" w:hAnsi="宋体" w:cs="宋体"/>
        </w:rPr>
        <w:fldChar w:fldCharType="separate"/>
      </w:r>
      <w:r>
        <w:rPr>
          <w:rFonts w:hint="eastAsia" w:ascii="宋体" w:hAnsi="宋体" w:cs="宋体"/>
        </w:rPr>
        <w:t>①</w:t>
      </w:r>
      <w:r>
        <w:rPr>
          <w:rFonts w:hint="eastAsia" w:ascii="宋体" w:hAnsi="宋体" w:cs="宋体"/>
        </w:rPr>
        <w:fldChar w:fldCharType="end"/>
      </w:r>
      <w:r>
        <w:rPr>
          <w:rFonts w:hint="eastAsia" w:ascii="宋体" w:hAnsi="宋体" w:cs="宋体"/>
        </w:rPr>
        <w:t>合同协议书、中标通知书（如果有）、工程（量）清单；</w:t>
      </w:r>
    </w:p>
    <w:p>
      <w:pPr>
        <w:pStyle w:val="2"/>
        <w:spacing w:after="0"/>
        <w:ind w:left="0" w:leftChars="0"/>
        <w:rPr>
          <w:rFonts w:hint="eastAsia" w:ascii="宋体" w:hAnsi="宋体" w:cs="宋体"/>
        </w:rPr>
      </w:pPr>
      <w:r>
        <w:rPr>
          <w:rFonts w:hint="eastAsia" w:ascii="宋体" w:hAnsi="宋体" w:cs="宋体"/>
        </w:rPr>
        <w:fldChar w:fldCharType="begin"/>
      </w:r>
      <w:r>
        <w:rPr>
          <w:rFonts w:hint="eastAsia" w:ascii="宋体" w:hAnsi="宋体" w:cs="宋体"/>
        </w:rPr>
        <w:instrText xml:space="preserve"> = 2 \* GB3 \* MERGEFORMAT </w:instrText>
      </w:r>
      <w:r>
        <w:rPr>
          <w:rFonts w:hint="eastAsia" w:ascii="宋体" w:hAnsi="宋体" w:cs="宋体"/>
        </w:rPr>
        <w:fldChar w:fldCharType="separate"/>
      </w:r>
      <w:r>
        <w:rPr>
          <w:rFonts w:hint="eastAsia" w:ascii="宋体" w:hAnsi="宋体" w:cs="宋体"/>
        </w:rPr>
        <w:t>②</w:t>
      </w:r>
      <w:r>
        <w:rPr>
          <w:rFonts w:hint="eastAsia" w:ascii="宋体" w:hAnsi="宋体" w:cs="宋体"/>
        </w:rPr>
        <w:fldChar w:fldCharType="end"/>
      </w:r>
      <w:r>
        <w:rPr>
          <w:rFonts w:hint="eastAsia" w:ascii="宋体" w:hAnsi="宋体" w:cs="宋体"/>
        </w:rPr>
        <w:t>业绩证明材料（业绩证明材料详见附件，业绩证明材料原件附在投标文件正本中）。</w:t>
      </w:r>
    </w:p>
    <w:p>
      <w:pPr>
        <w:pStyle w:val="6"/>
        <w:ind w:firstLine="420" w:firstLineChars="200"/>
        <w:rPr>
          <w:rFonts w:hint="eastAsia" w:ascii="宋体" w:hAnsi="宋体" w:cs="宋体"/>
        </w:rPr>
      </w:pPr>
      <w:r>
        <w:rPr>
          <w:rFonts w:hint="eastAsia" w:ascii="宋体" w:hAnsi="宋体" w:cs="宋体"/>
        </w:rPr>
        <w:t>3.若未出具证明材料或证明材料不全或所要求的信息描述不清晰的，该业绩不予认定。</w:t>
      </w:r>
    </w:p>
    <w:p>
      <w:pPr>
        <w:pStyle w:val="6"/>
        <w:ind w:firstLine="420" w:firstLineChars="200"/>
        <w:rPr>
          <w:rFonts w:hint="eastAsia" w:ascii="宋体" w:hAnsi="宋体" w:cs="宋体"/>
        </w:rPr>
      </w:pPr>
      <w:r>
        <w:rPr>
          <w:rFonts w:hint="eastAsia" w:ascii="宋体" w:hAnsi="宋体" w:cs="宋体"/>
        </w:rPr>
        <w:t>4.如近年来，投标人法人机构发生合法变更或重组或法人名称变更时，应提供相关部门的合法批件或其他相关证明材料来证明其所附业绩的继承性。</w:t>
      </w:r>
    </w:p>
    <w:p>
      <w:pPr>
        <w:pStyle w:val="2"/>
        <w:spacing w:after="0"/>
        <w:ind w:left="0" w:leftChars="0"/>
      </w:pPr>
      <w:r>
        <w:rPr>
          <w:rFonts w:hint="eastAsia" w:ascii="宋体" w:hAnsi="宋体" w:cs="宋体"/>
        </w:rPr>
        <w:t>5.本表内容电子文档（U盘）（不含相关证明材料）作为公示资料。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0C2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0"/>
    <w:pPr>
      <w:spacing w:after="120"/>
      <w:ind w:left="420" w:leftChars="200"/>
    </w:pPr>
  </w:style>
  <w:style w:type="paragraph" w:customStyle="1" w:styleId="6">
    <w:name w:val="样式王"/>
    <w:basedOn w:val="1"/>
    <w:qFormat/>
    <w:uiPriority w:val="0"/>
    <w:rPr>
      <w:rFonts w:ascii="Calibri" w:hAnsi="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2021-06-22T06:17:35Z</dcterms:created>
  <dc:creator>Administrator</dc:creator>
  <cp:lastModifiedBy>Administrator</cp:lastModifiedBy>
  <dcterms:modified xsi:type="dcterms:W3CDTF">2021-06-22T06:18:42Z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