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宋体" w:hAnsi="宋体" w:eastAsia="宋体" w:cs="宋体"/>
          <w:b/>
          <w:sz w:val="24"/>
          <w:szCs w:val="24"/>
        </w:rPr>
      </w:pPr>
    </w:p>
    <w:p>
      <w:pPr>
        <w:spacing w:line="380" w:lineRule="exact"/>
        <w:rPr>
          <w:rFonts w:ascii="宋体" w:hAnsi="宋体" w:eastAsia="宋体" w:cs="宋体"/>
          <w:b/>
          <w:sz w:val="24"/>
          <w:szCs w:val="24"/>
        </w:rPr>
      </w:pPr>
    </w:p>
    <w:p>
      <w:pPr>
        <w:spacing w:line="240" w:lineRule="auto"/>
        <w:jc w:val="center"/>
        <w:rPr>
          <w:rFonts w:ascii="宋体" w:hAnsi="宋体" w:eastAsia="宋体" w:cs="宋体"/>
          <w:b/>
          <w:sz w:val="44"/>
          <w:szCs w:val="44"/>
        </w:rPr>
      </w:pPr>
      <w:r>
        <w:rPr>
          <w:rFonts w:hint="eastAsia" w:ascii="宋体" w:hAnsi="宋体" w:eastAsia="宋体" w:cs="宋体"/>
          <w:b/>
          <w:sz w:val="44"/>
          <w:szCs w:val="44"/>
        </w:rPr>
        <w:t>四川攀西高速公路开发股份有限公司    安全体系建设技术服务采购项目</w:t>
      </w:r>
    </w:p>
    <w:p>
      <w:pPr>
        <w:spacing w:line="240" w:lineRule="auto"/>
        <w:jc w:val="center"/>
        <w:rPr>
          <w:rFonts w:ascii="宋体" w:hAnsi="宋体" w:eastAsia="宋体" w:cs="宋体"/>
          <w:b/>
          <w:sz w:val="72"/>
          <w:szCs w:val="72"/>
        </w:rPr>
      </w:pPr>
    </w:p>
    <w:p>
      <w:pPr>
        <w:spacing w:line="240" w:lineRule="auto"/>
        <w:jc w:val="center"/>
        <w:rPr>
          <w:rFonts w:ascii="宋体" w:hAnsi="宋体" w:eastAsia="宋体" w:cs="宋体"/>
          <w:b/>
          <w:sz w:val="72"/>
          <w:szCs w:val="72"/>
        </w:rPr>
      </w:pPr>
    </w:p>
    <w:p>
      <w:pPr>
        <w:spacing w:line="240" w:lineRule="auto"/>
        <w:jc w:val="center"/>
        <w:rPr>
          <w:rFonts w:ascii="宋体" w:hAnsi="宋体" w:eastAsia="宋体" w:cs="宋体"/>
          <w:b/>
          <w:sz w:val="72"/>
          <w:szCs w:val="72"/>
        </w:rPr>
      </w:pPr>
    </w:p>
    <w:p>
      <w:pPr>
        <w:spacing w:line="240" w:lineRule="auto"/>
        <w:jc w:val="center"/>
        <w:rPr>
          <w:rFonts w:ascii="宋体" w:hAnsi="宋体" w:eastAsia="宋体" w:cs="宋体"/>
          <w:b/>
          <w:sz w:val="72"/>
          <w:szCs w:val="72"/>
        </w:rPr>
      </w:pPr>
      <w:r>
        <w:rPr>
          <w:rFonts w:hint="eastAsia" w:ascii="宋体" w:hAnsi="宋体" w:eastAsia="宋体" w:cs="宋体"/>
          <w:b/>
          <w:sz w:val="72"/>
          <w:szCs w:val="72"/>
        </w:rPr>
        <w:t>询价函</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480" w:lineRule="auto"/>
        <w:jc w:val="center"/>
        <w:rPr>
          <w:rFonts w:ascii="宋体" w:hAnsi="宋体" w:eastAsia="宋体" w:cs="宋体"/>
          <w:b/>
          <w:sz w:val="24"/>
          <w:szCs w:val="24"/>
        </w:rPr>
      </w:pPr>
    </w:p>
    <w:p>
      <w:pPr>
        <w:spacing w:line="480" w:lineRule="auto"/>
        <w:jc w:val="center"/>
        <w:rPr>
          <w:rFonts w:ascii="宋体" w:hAnsi="宋体" w:eastAsia="宋体" w:cs="宋体"/>
          <w:b/>
          <w:sz w:val="24"/>
          <w:szCs w:val="24"/>
        </w:rPr>
      </w:pPr>
    </w:p>
    <w:p>
      <w:pPr>
        <w:spacing w:line="480" w:lineRule="auto"/>
        <w:jc w:val="center"/>
        <w:rPr>
          <w:rFonts w:ascii="宋体" w:hAnsi="宋体" w:eastAsia="宋体" w:cs="宋体"/>
          <w:b/>
          <w:sz w:val="28"/>
          <w:szCs w:val="28"/>
        </w:rPr>
      </w:pPr>
      <w:r>
        <w:rPr>
          <w:rFonts w:hint="eastAsia" w:ascii="宋体" w:hAnsi="宋体" w:eastAsia="宋体" w:cs="宋体"/>
          <w:b/>
          <w:sz w:val="28"/>
          <w:szCs w:val="28"/>
        </w:rPr>
        <w:t>采购人：四川攀西高速公路开发股份有限公司</w:t>
      </w:r>
    </w:p>
    <w:p>
      <w:pPr>
        <w:spacing w:line="480" w:lineRule="auto"/>
        <w:ind w:firstLine="2811" w:firstLineChars="1000"/>
        <w:rPr>
          <w:rFonts w:ascii="宋体" w:hAnsi="宋体" w:eastAsia="宋体" w:cs="宋体"/>
          <w:b/>
          <w:sz w:val="28"/>
          <w:szCs w:val="28"/>
        </w:rPr>
      </w:pPr>
      <w:r>
        <w:rPr>
          <w:rFonts w:hint="eastAsia" w:ascii="宋体" w:hAnsi="宋体" w:eastAsia="宋体" w:cs="宋体"/>
          <w:b/>
          <w:sz w:val="28"/>
          <w:szCs w:val="28"/>
        </w:rPr>
        <w:t>日  期：2021年8月</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240" w:lineRule="auto"/>
        <w:jc w:val="center"/>
        <w:rPr>
          <w:rFonts w:ascii="宋体" w:hAnsi="宋体" w:eastAsia="宋体" w:cs="宋体"/>
          <w:b/>
          <w:sz w:val="32"/>
          <w:szCs w:val="32"/>
        </w:rPr>
        <w:sectPr>
          <w:pgSz w:w="11906" w:h="16838"/>
          <w:pgMar w:top="1440" w:right="1800" w:bottom="1440" w:left="1800" w:header="851" w:footer="992" w:gutter="0"/>
          <w:cols w:space="425" w:num="1"/>
          <w:docGrid w:type="lines" w:linePitch="312" w:charSpace="0"/>
        </w:sectPr>
      </w:pPr>
    </w:p>
    <w:p>
      <w:pPr>
        <w:spacing w:line="240" w:lineRule="auto"/>
        <w:jc w:val="center"/>
        <w:rPr>
          <w:rFonts w:ascii="宋体" w:hAnsi="宋体" w:eastAsia="宋体" w:cs="宋体"/>
          <w:b/>
          <w:sz w:val="32"/>
          <w:szCs w:val="32"/>
        </w:rPr>
      </w:pPr>
      <w:r>
        <w:rPr>
          <w:rFonts w:hint="eastAsia" w:ascii="宋体" w:hAnsi="宋体" w:eastAsia="宋体" w:cs="宋体"/>
          <w:b/>
          <w:sz w:val="32"/>
          <w:szCs w:val="32"/>
        </w:rPr>
        <w:t>四川攀西高速公路开发股份有限公司</w:t>
      </w:r>
    </w:p>
    <w:p>
      <w:pPr>
        <w:spacing w:line="240" w:lineRule="auto"/>
        <w:jc w:val="center"/>
        <w:rPr>
          <w:rFonts w:ascii="宋体" w:hAnsi="宋体" w:eastAsia="宋体" w:cs="宋体"/>
          <w:b/>
          <w:sz w:val="32"/>
          <w:szCs w:val="32"/>
        </w:rPr>
      </w:pPr>
      <w:r>
        <w:rPr>
          <w:rFonts w:hint="eastAsia" w:ascii="宋体" w:hAnsi="宋体" w:eastAsia="宋体" w:cs="宋体"/>
          <w:b/>
          <w:sz w:val="32"/>
          <w:szCs w:val="32"/>
        </w:rPr>
        <w:t>安全体系建设技术服务采购项目</w:t>
      </w:r>
    </w:p>
    <w:p>
      <w:pPr>
        <w:spacing w:line="240" w:lineRule="auto"/>
        <w:jc w:val="center"/>
        <w:rPr>
          <w:rFonts w:ascii="宋体" w:hAnsi="宋体" w:eastAsia="宋体" w:cs="宋体"/>
          <w:b/>
          <w:sz w:val="32"/>
          <w:szCs w:val="32"/>
        </w:rPr>
      </w:pPr>
      <w:r>
        <w:rPr>
          <w:rFonts w:hint="eastAsia" w:ascii="宋体" w:hAnsi="宋体" w:eastAsia="宋体" w:cs="宋体"/>
          <w:b/>
          <w:sz w:val="32"/>
          <w:szCs w:val="32"/>
        </w:rPr>
        <w:t>询价函</w:t>
      </w:r>
    </w:p>
    <w:p>
      <w:pPr>
        <w:numPr>
          <w:ilvl w:val="0"/>
          <w:numId w:val="1"/>
        </w:numPr>
        <w:spacing w:line="380" w:lineRule="exact"/>
        <w:rPr>
          <w:rFonts w:ascii="宋体" w:hAnsi="宋体" w:eastAsia="宋体" w:cs="宋体"/>
          <w:b/>
          <w:sz w:val="28"/>
          <w:szCs w:val="28"/>
        </w:rPr>
      </w:pPr>
      <w:r>
        <w:rPr>
          <w:rFonts w:hint="eastAsia" w:ascii="宋体" w:hAnsi="宋体" w:eastAsia="宋体" w:cs="宋体"/>
          <w:b/>
          <w:sz w:val="28"/>
          <w:szCs w:val="28"/>
        </w:rPr>
        <w:t>询价函内容</w:t>
      </w:r>
    </w:p>
    <w:tbl>
      <w:tblPr>
        <w:tblStyle w:val="15"/>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4"/>
        <w:gridCol w:w="6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采购人</w:t>
            </w:r>
          </w:p>
        </w:tc>
        <w:tc>
          <w:tcPr>
            <w:tcW w:w="6992" w:type="dxa"/>
          </w:tcPr>
          <w:p>
            <w:pPr>
              <w:spacing w:line="380" w:lineRule="exact"/>
              <w:rPr>
                <w:rFonts w:ascii="宋体" w:hAnsi="宋体" w:eastAsia="宋体" w:cs="宋体"/>
                <w:bCs/>
                <w:sz w:val="24"/>
                <w:szCs w:val="24"/>
              </w:rPr>
            </w:pPr>
            <w:r>
              <w:rPr>
                <w:rFonts w:hint="eastAsia" w:ascii="宋体" w:hAnsi="宋体" w:eastAsia="宋体" w:cs="宋体"/>
                <w:sz w:val="24"/>
                <w:szCs w:val="24"/>
              </w:rPr>
              <w:t>四川攀西高速公路开发股份有限公司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采购内容</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安全体系建设技术服务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四川攀西高速公路开发股份有限公司安全体系建设技术服务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服务地点</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西昌市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项目概况</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报价人为采购人按照《安全生产法》、《生产经营单位生产安全事故应急预案编制导则 GB/T29639-2013》等文件要求提供双控体系建设、安全管理制度及安全生产事故应急预案修订、评审等技术服务工作，使其满足相关技术规范的要求。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服务期</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双控体系建设、安全生产管理制度及安全生产事故应急预案修订、评审于2021年12月20日前完成</w:t>
            </w:r>
            <w:r>
              <w:rPr>
                <w:rFonts w:hint="eastAsia" w:ascii="宋体" w:hAnsi="宋体" w:eastAsia="宋体" w:cs="宋体"/>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资格要求</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1、资质要求：具有有效营业执照或事业单位法人证书，提供营业执照副本扫描复印件；</w:t>
            </w:r>
          </w:p>
          <w:p>
            <w:pPr>
              <w:spacing w:line="380" w:lineRule="exact"/>
              <w:rPr>
                <w:rFonts w:ascii="宋体" w:hAnsi="宋体" w:eastAsia="宋体" w:cs="宋体"/>
                <w:sz w:val="24"/>
                <w:szCs w:val="24"/>
              </w:rPr>
            </w:pPr>
            <w:r>
              <w:rPr>
                <w:rFonts w:hint="eastAsia" w:ascii="宋体" w:hAnsi="宋体" w:eastAsia="宋体" w:cs="宋体"/>
                <w:sz w:val="24"/>
                <w:szCs w:val="24"/>
              </w:rPr>
              <w:t>3、项目人员要求：项目负责人为工程类相关专业高级及以上技术职称，具有10年以上公路工程勘察设计、施工、监理或咨询服务等相关工作经历。提供职称证书扫描复印件；</w:t>
            </w:r>
          </w:p>
          <w:p>
            <w:pPr>
              <w:spacing w:line="380" w:lineRule="exact"/>
              <w:rPr>
                <w:rFonts w:ascii="宋体" w:hAnsi="宋体" w:eastAsia="宋体" w:cs="宋体"/>
                <w:sz w:val="24"/>
                <w:szCs w:val="24"/>
              </w:rPr>
            </w:pPr>
            <w:r>
              <w:rPr>
                <w:rFonts w:hint="eastAsia" w:ascii="宋体" w:hAnsi="宋体" w:eastAsia="宋体" w:cs="宋体"/>
                <w:sz w:val="24"/>
                <w:szCs w:val="24"/>
              </w:rPr>
              <w:t>4、类似业绩要求：近五年（2016年1月1日至今，以合同签订时间为准），报价人至少承担过1个公路项目的</w:t>
            </w:r>
            <w:r>
              <w:rPr>
                <w:rFonts w:hint="eastAsia" w:ascii="宋体" w:hAnsi="宋体" w:eastAsia="宋体" w:cs="宋体"/>
                <w:sz w:val="24"/>
                <w:szCs w:val="24"/>
                <w:lang w:val="en-US" w:eastAsia="zh-CN"/>
              </w:rPr>
              <w:t>安全体系设</w:t>
            </w:r>
            <w:r>
              <w:rPr>
                <w:rFonts w:hint="eastAsia" w:ascii="宋体" w:hAnsi="宋体" w:eastAsia="宋体" w:cs="宋体"/>
                <w:sz w:val="24"/>
                <w:szCs w:val="24"/>
              </w:rPr>
              <w:t>或安全性评价业绩。提供合同或中标通知书扫描复印件。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技术标准和要求</w:t>
            </w:r>
          </w:p>
        </w:tc>
        <w:tc>
          <w:tcPr>
            <w:tcW w:w="6992" w:type="dxa"/>
            <w:vAlign w:val="center"/>
          </w:tcPr>
          <w:p>
            <w:pPr>
              <w:spacing w:line="380" w:lineRule="exact"/>
              <w:rPr>
                <w:rFonts w:ascii="宋体" w:hAnsi="宋体" w:eastAsia="宋体" w:cs="宋体"/>
                <w:sz w:val="24"/>
                <w:szCs w:val="24"/>
              </w:rPr>
            </w:pPr>
            <w:r>
              <w:rPr>
                <w:rFonts w:hint="eastAsia" w:ascii="宋体" w:hAnsi="宋体" w:eastAsia="宋体" w:cs="宋体"/>
                <w:sz w:val="24"/>
                <w:szCs w:val="24"/>
              </w:rPr>
              <w:t>按照《安全生产法》、《生产经营单位生产安全事故应急预案编制导则 GB/T29639-2013》等文件的要求，协助创建双控体系、安全管理制度及修订现有的安全生产事故应急救援预案并进行评审</w:t>
            </w:r>
            <w:r>
              <w:rPr>
                <w:rFonts w:hint="eastAsia" w:ascii="宋体" w:hAnsi="宋体" w:eastAsia="宋体" w:cs="宋体"/>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rPr>
                <w:rFonts w:ascii="宋体" w:hAnsi="宋体" w:eastAsia="宋体" w:cs="宋体"/>
                <w:sz w:val="24"/>
                <w:szCs w:val="24"/>
              </w:rPr>
            </w:pPr>
            <w:r>
              <w:rPr>
                <w:rFonts w:hint="eastAsia" w:ascii="宋体" w:hAnsi="宋体" w:eastAsia="宋体" w:cs="宋体"/>
                <w:sz w:val="24"/>
                <w:szCs w:val="24"/>
              </w:rPr>
              <w:t>响应文件组成及主要内容</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响应文件由下列内容组成，格式自拟：</w:t>
            </w:r>
          </w:p>
          <w:p>
            <w:pPr>
              <w:spacing w:line="380" w:lineRule="exact"/>
              <w:rPr>
                <w:rFonts w:ascii="宋体" w:hAnsi="宋体" w:eastAsia="宋体" w:cs="宋体"/>
                <w:sz w:val="24"/>
                <w:szCs w:val="24"/>
              </w:rPr>
            </w:pPr>
            <w:r>
              <w:rPr>
                <w:rFonts w:hint="eastAsia" w:ascii="宋体" w:hAnsi="宋体" w:eastAsia="宋体" w:cs="宋体"/>
                <w:sz w:val="24"/>
                <w:szCs w:val="24"/>
              </w:rPr>
              <w:t>（1）报价表（见附件，加盖单位公章）；</w:t>
            </w:r>
          </w:p>
          <w:p>
            <w:pPr>
              <w:rPr>
                <w:rFonts w:ascii="宋体" w:hAnsi="宋体" w:eastAsia="宋体" w:cs="宋体"/>
                <w:sz w:val="24"/>
                <w:szCs w:val="24"/>
              </w:rPr>
            </w:pPr>
            <w:r>
              <w:rPr>
                <w:rFonts w:hint="eastAsia" w:ascii="宋体" w:hAnsi="宋体" w:eastAsia="宋体" w:cs="宋体"/>
                <w:sz w:val="24"/>
                <w:szCs w:val="24"/>
              </w:rPr>
              <w:t>（2）法定代表人身份证明或授权委托书（附法定代表人身份证及委托代理人身份证正反面扫描复印件并加盖单位公章；</w:t>
            </w:r>
          </w:p>
          <w:p>
            <w:pPr>
              <w:rPr>
                <w:rFonts w:ascii="宋体" w:hAnsi="宋体" w:eastAsia="宋体" w:cs="宋体"/>
              </w:rPr>
            </w:pPr>
            <w:r>
              <w:rPr>
                <w:rFonts w:hint="eastAsia" w:ascii="宋体" w:hAnsi="宋体" w:eastAsia="宋体" w:cs="宋体"/>
                <w:sz w:val="24"/>
                <w:szCs w:val="24"/>
              </w:rPr>
              <w:t>（3）资质证明文件（提供有效的营业执照、开户许可证等复印件并加盖单位公章)；</w:t>
            </w:r>
          </w:p>
          <w:p>
            <w:pPr>
              <w:spacing w:line="380" w:lineRule="exact"/>
              <w:rPr>
                <w:rFonts w:ascii="宋体" w:hAnsi="宋体" w:eastAsia="宋体" w:cs="宋体"/>
                <w:sz w:val="24"/>
                <w:szCs w:val="24"/>
              </w:rPr>
            </w:pPr>
            <w:r>
              <w:rPr>
                <w:rFonts w:hint="eastAsia" w:ascii="宋体" w:hAnsi="宋体" w:eastAsia="宋体" w:cs="宋体"/>
                <w:sz w:val="24"/>
                <w:szCs w:val="24"/>
              </w:rPr>
              <w:t>（4）类似业绩证明材料（提供合同或中标通知书复印件并加盖单位公章）；</w:t>
            </w:r>
          </w:p>
          <w:p>
            <w:pPr>
              <w:spacing w:line="380" w:lineRule="exact"/>
              <w:rPr>
                <w:rFonts w:ascii="宋体" w:hAnsi="宋体" w:eastAsia="宋体" w:cs="宋体"/>
                <w:sz w:val="24"/>
                <w:szCs w:val="24"/>
              </w:rPr>
            </w:pPr>
            <w:r>
              <w:rPr>
                <w:rFonts w:hint="eastAsia" w:ascii="宋体" w:hAnsi="宋体" w:eastAsia="宋体" w:cs="宋体"/>
                <w:sz w:val="24"/>
                <w:szCs w:val="24"/>
              </w:rPr>
              <w:t>（5）项目负责人身份证、职称证等证件扫描复印件（加盖单位公章）；</w:t>
            </w:r>
          </w:p>
          <w:p>
            <w:pPr>
              <w:spacing w:line="380" w:lineRule="exact"/>
              <w:rPr>
                <w:rFonts w:ascii="宋体" w:hAnsi="宋体" w:eastAsia="宋体" w:cs="宋体"/>
                <w:sz w:val="24"/>
                <w:szCs w:val="24"/>
              </w:rPr>
            </w:pPr>
            <w:r>
              <w:rPr>
                <w:rFonts w:hint="eastAsia" w:ascii="宋体" w:hAnsi="宋体" w:eastAsia="宋体" w:cs="宋体"/>
                <w:sz w:val="24"/>
                <w:szCs w:val="24"/>
              </w:rPr>
              <w:t>（6）技术方案（格式自拟）。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响应文件要求</w:t>
            </w:r>
          </w:p>
        </w:tc>
        <w:tc>
          <w:tcPr>
            <w:tcW w:w="6992" w:type="dxa"/>
          </w:tcPr>
          <w:p>
            <w:pPr>
              <w:numPr>
                <w:ilvl w:val="0"/>
                <w:numId w:val="2"/>
              </w:numPr>
              <w:spacing w:line="380" w:lineRule="exact"/>
              <w:rPr>
                <w:rFonts w:ascii="宋体" w:hAnsi="宋体" w:eastAsia="宋体" w:cs="宋体"/>
                <w:sz w:val="24"/>
                <w:szCs w:val="24"/>
              </w:rPr>
            </w:pPr>
            <w:r>
              <w:rPr>
                <w:rFonts w:hint="eastAsia" w:ascii="宋体" w:hAnsi="宋体" w:eastAsia="宋体" w:cs="宋体"/>
                <w:sz w:val="24"/>
                <w:szCs w:val="24"/>
              </w:rPr>
              <w:t>份数：响应文件贰份（不分正副），所有资料需密封装订成册，以送达的方式递交采购人处。</w:t>
            </w:r>
          </w:p>
          <w:p>
            <w:pPr>
              <w:numPr>
                <w:ilvl w:val="0"/>
                <w:numId w:val="2"/>
              </w:numPr>
              <w:spacing w:line="380" w:lineRule="exact"/>
              <w:rPr>
                <w:rFonts w:ascii="宋体" w:hAnsi="宋体" w:eastAsia="宋体" w:cs="宋体"/>
                <w:sz w:val="24"/>
                <w:szCs w:val="24"/>
              </w:rPr>
            </w:pPr>
            <w:r>
              <w:rPr>
                <w:rFonts w:hint="eastAsia" w:ascii="宋体" w:hAnsi="宋体" w:eastAsia="宋体" w:cs="宋体"/>
                <w:sz w:val="24"/>
                <w:szCs w:val="24"/>
              </w:rPr>
              <w:t>签署要求：需加盖报价单位公章，并按响应文件规定进行法定代表人或其授权代理人签字或盖章。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0" w:hRule="atLeast"/>
        </w:trPr>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询价文件的领取</w:t>
            </w:r>
          </w:p>
        </w:tc>
        <w:tc>
          <w:tcPr>
            <w:tcW w:w="6992" w:type="dxa"/>
          </w:tcPr>
          <w:p>
            <w:pPr>
              <w:spacing w:line="360"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凡有意参加报价的潜在报价人,于2021年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30</w:t>
            </w:r>
            <w:r>
              <w:rPr>
                <w:rFonts w:hint="eastAsia" w:ascii="宋体" w:hAnsi="宋体" w:eastAsia="宋体" w:cs="宋体"/>
                <w:sz w:val="24"/>
              </w:rPr>
              <w:t>日开始通过以下方式获取询价文件。进入四川攀西高速公路开发股份有限公司（https://pxgs.scgs.com.cn/）网站后,从“招投标公告”栏中免费匿名下载招标文件的电子版。</w:t>
            </w:r>
          </w:p>
          <w:p>
            <w:pPr>
              <w:spacing w:line="360" w:lineRule="auto"/>
              <w:rPr>
                <w:rFonts w:ascii="宋体" w:hAnsi="宋体" w:eastAsia="宋体" w:cs="宋体"/>
                <w:sz w:val="24"/>
                <w:szCs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询价文件补遗书(如果有)将公布在四川攀西高速公路开发股份有限公司（https://pxgs.scgs.com.cn/）网站上,由询价人自行从网站下载。报价人应在报价期间适时关注询价人指定网站,并及时下载相关内容,询价人不再另行通知。查阅下载过程如有问题或疑问请及时与询价人联系;逾期未联系的,询价人视为报价人无任何问题,或是已收到或默认已收到,否则,造成的一切后果由报价人自负。报价人在递交报价文件之前不能向询价人以任何方式提供有关询价人的任何信息和联系方式。</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响应文件的递交</w:t>
            </w:r>
          </w:p>
        </w:tc>
        <w:tc>
          <w:tcPr>
            <w:tcW w:w="6992" w:type="dxa"/>
          </w:tcPr>
          <w:p>
            <w:pPr>
              <w:numPr>
                <w:ilvl w:val="0"/>
                <w:numId w:val="3"/>
              </w:numPr>
              <w:spacing w:line="380" w:lineRule="exact"/>
              <w:rPr>
                <w:rFonts w:ascii="宋体" w:hAnsi="宋体" w:eastAsia="宋体" w:cs="宋体"/>
                <w:sz w:val="24"/>
                <w:szCs w:val="24"/>
              </w:rPr>
            </w:pPr>
            <w:r>
              <w:rPr>
                <w:rFonts w:hint="eastAsia" w:ascii="宋体" w:hAnsi="宋体" w:eastAsia="宋体" w:cs="宋体"/>
                <w:sz w:val="24"/>
                <w:szCs w:val="24"/>
              </w:rPr>
              <w:t>响应文件递交的截止时间为</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日（星期</w:t>
            </w:r>
            <w:r>
              <w:rPr>
                <w:rFonts w:hint="eastAsia" w:ascii="宋体" w:hAnsi="宋体" w:eastAsia="宋体" w:cs="宋体"/>
                <w:sz w:val="24"/>
                <w:szCs w:val="24"/>
                <w:u w:val="single"/>
                <w:lang w:val="en-US" w:eastAsia="zh-CN"/>
              </w:rPr>
              <w:t>五</w:t>
            </w:r>
            <w:r>
              <w:rPr>
                <w:rFonts w:hint="eastAsia" w:ascii="宋体" w:hAnsi="宋体" w:eastAsia="宋体" w:cs="宋体"/>
                <w:sz w:val="24"/>
                <w:szCs w:val="24"/>
                <w:u w:val="single"/>
              </w:rPr>
              <w:t>）上午10:30</w:t>
            </w:r>
            <w:r>
              <w:rPr>
                <w:rFonts w:hint="eastAsia" w:ascii="宋体" w:hAnsi="宋体" w:eastAsia="宋体" w:cs="宋体"/>
                <w:sz w:val="24"/>
                <w:szCs w:val="24"/>
              </w:rPr>
              <w:t>前。逾期送达的，不予接受。</w:t>
            </w:r>
          </w:p>
          <w:p>
            <w:pPr>
              <w:numPr>
                <w:ilvl w:val="0"/>
                <w:numId w:val="3"/>
              </w:numPr>
              <w:spacing w:line="380" w:lineRule="exact"/>
              <w:rPr>
                <w:rFonts w:ascii="宋体" w:hAnsi="宋体" w:eastAsia="宋体" w:cs="宋体"/>
                <w:sz w:val="24"/>
                <w:szCs w:val="24"/>
              </w:rPr>
            </w:pPr>
            <w:r>
              <w:rPr>
                <w:rFonts w:hint="eastAsia" w:ascii="宋体" w:hAnsi="宋体" w:eastAsia="宋体" w:cs="宋体"/>
                <w:sz w:val="24"/>
                <w:szCs w:val="24"/>
              </w:rPr>
              <w:t>递交地点：西昌市河东大道惠民写字楼7楼711室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开标时间</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日（星期</w:t>
            </w:r>
            <w:r>
              <w:rPr>
                <w:rFonts w:hint="eastAsia" w:ascii="宋体" w:hAnsi="宋体" w:eastAsia="宋体" w:cs="宋体"/>
                <w:sz w:val="24"/>
                <w:szCs w:val="24"/>
                <w:u w:val="single"/>
                <w:lang w:val="en-US" w:eastAsia="zh-CN"/>
              </w:rPr>
              <w:t>五</w:t>
            </w:r>
            <w:r>
              <w:rPr>
                <w:rFonts w:hint="eastAsia" w:ascii="宋体" w:hAnsi="宋体" w:eastAsia="宋体" w:cs="宋体"/>
                <w:sz w:val="24"/>
                <w:szCs w:val="24"/>
                <w:u w:val="single"/>
              </w:rPr>
              <w:t>）上午11:00</w:t>
            </w:r>
            <w:r>
              <w:rPr>
                <w:rFonts w:hint="eastAsia" w:ascii="宋体" w:hAnsi="宋体" w:eastAsia="宋体" w:cs="宋体"/>
                <w:sz w:val="24"/>
                <w:szCs w:val="24"/>
              </w:rPr>
              <w:t>开标，如有特殊情况，顺延一天。</w:t>
            </w:r>
          </w:p>
          <w:p>
            <w:pPr>
              <w:spacing w:line="380" w:lineRule="exact"/>
              <w:rPr>
                <w:rFonts w:ascii="宋体" w:hAnsi="宋体" w:eastAsia="宋体" w:cs="宋体"/>
                <w:sz w:val="24"/>
                <w:szCs w:val="24"/>
              </w:rPr>
            </w:pPr>
            <w:r>
              <w:rPr>
                <w:rFonts w:hint="eastAsia" w:ascii="宋体" w:hAnsi="宋体" w:eastAsia="宋体" w:cs="宋体"/>
                <w:sz w:val="24"/>
                <w:szCs w:val="24"/>
              </w:rPr>
              <w:t>2、开标地点：西昌市河东大道惠民写字楼6楼会议室。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color w:val="000000" w:themeColor="text1"/>
                <w:sz w:val="24"/>
                <w:szCs w:val="24"/>
                <w:highlight w:val="green"/>
                <w14:textFill>
                  <w14:solidFill>
                    <w14:schemeClr w14:val="tx1"/>
                  </w14:solidFill>
                </w14:textFill>
              </w:rPr>
            </w:pPr>
            <w:r>
              <w:rPr>
                <w:rFonts w:hint="eastAsia" w:ascii="宋体" w:hAnsi="宋体" w:eastAsia="宋体" w:cs="宋体"/>
                <w:sz w:val="24"/>
                <w:szCs w:val="24"/>
              </w:rPr>
              <w:t>评审办法</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1、本项目采用综合评估法。分值构成如下：商务部分55分；技术部分30分；报价15分。</w:t>
            </w:r>
          </w:p>
          <w:p>
            <w:pPr>
              <w:spacing w:line="380" w:lineRule="exact"/>
              <w:rPr>
                <w:rFonts w:ascii="宋体" w:hAnsi="宋体" w:eastAsia="宋体" w:cs="宋体"/>
                <w:color w:val="000000" w:themeColor="text1"/>
                <w:kern w:val="0"/>
                <w:sz w:val="24"/>
                <w:szCs w:val="24"/>
                <w:highlight w:val="green"/>
                <w14:textFill>
                  <w14:solidFill>
                    <w14:schemeClr w14:val="tx1"/>
                  </w14:solidFill>
                </w14:textFill>
              </w:rPr>
            </w:pPr>
            <w:r>
              <w:rPr>
                <w:rFonts w:hint="eastAsia" w:ascii="宋体" w:hAnsi="宋体" w:eastAsia="宋体" w:cs="宋体"/>
                <w:sz w:val="24"/>
                <w:szCs w:val="24"/>
              </w:rPr>
              <w:t>2、详细评分细则：见附件“综合评分明细表”。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highlight w:val="green"/>
              </w:rPr>
            </w:pPr>
            <w:r>
              <w:rPr>
                <w:rFonts w:hint="eastAsia" w:ascii="宋体" w:hAnsi="宋体" w:eastAsia="宋体" w:cs="宋体"/>
                <w:sz w:val="24"/>
                <w:szCs w:val="24"/>
              </w:rPr>
              <w:t>评审标准</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1、评审期间，报价文件中含义不明确、不一致或有明显文字和计算错误的内容，报价人可根据询价小组的要求进行补正、说明，询价小组也有权根据情况要求报价人对相关资料进行补充（除报价外）。</w:t>
            </w:r>
          </w:p>
          <w:p>
            <w:pPr>
              <w:spacing w:line="380" w:lineRule="exact"/>
              <w:rPr>
                <w:rFonts w:ascii="宋体" w:hAnsi="宋体" w:eastAsia="宋体" w:cs="宋体"/>
                <w:kern w:val="0"/>
                <w:sz w:val="24"/>
                <w:szCs w:val="24"/>
                <w:highlight w:val="green"/>
              </w:rPr>
            </w:pPr>
            <w:r>
              <w:rPr>
                <w:rFonts w:hint="eastAsia" w:ascii="宋体" w:hAnsi="宋体" w:eastAsia="宋体" w:cs="宋体"/>
                <w:kern w:val="0"/>
                <w:sz w:val="24"/>
                <w:szCs w:val="24"/>
              </w:rPr>
              <w:t>2、经评审，在报价人资格条件、质量和服务均能满足询价文件实质性要求的前提下，按报价人综合得分由高到低排名；若报价人报价相同，则按技术得分高的优先；若技术得分也相同的，则按符合条件的业绩最多的报价人为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采购限价</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1、本次采购最高限价（含税）</w:t>
            </w:r>
            <w:r>
              <w:rPr>
                <w:rFonts w:hint="eastAsia" w:ascii="宋体" w:hAnsi="宋体" w:eastAsia="宋体" w:cs="宋体"/>
                <w:sz w:val="24"/>
                <w:szCs w:val="24"/>
                <w:u w:val="single"/>
              </w:rPr>
              <w:t>25</w:t>
            </w:r>
            <w:r>
              <w:rPr>
                <w:rFonts w:hint="eastAsia" w:ascii="宋体" w:hAnsi="宋体" w:eastAsia="宋体" w:cs="宋体"/>
                <w:sz w:val="24"/>
                <w:szCs w:val="24"/>
              </w:rPr>
              <w:t>万元。</w:t>
            </w:r>
          </w:p>
          <w:p>
            <w:pPr>
              <w:spacing w:line="380" w:lineRule="exact"/>
              <w:rPr>
                <w:rFonts w:ascii="宋体" w:hAnsi="宋体" w:eastAsia="宋体" w:cs="宋体"/>
                <w:sz w:val="24"/>
                <w:szCs w:val="24"/>
              </w:rPr>
            </w:pPr>
            <w:r>
              <w:rPr>
                <w:rFonts w:hint="eastAsia" w:ascii="宋体" w:hAnsi="宋体" w:eastAsia="宋体" w:cs="宋体"/>
                <w:bCs/>
                <w:sz w:val="24"/>
                <w:szCs w:val="24"/>
              </w:rPr>
              <w:t>2、报价人的报价不得超过限价，</w:t>
            </w:r>
            <w:r>
              <w:rPr>
                <w:rFonts w:hint="eastAsia" w:ascii="宋体" w:hAnsi="宋体" w:eastAsia="宋体" w:cs="宋体"/>
                <w:sz w:val="24"/>
                <w:szCs w:val="24"/>
              </w:rPr>
              <w:t>否则其报价将作否决处理。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支付方式</w:t>
            </w:r>
          </w:p>
        </w:tc>
        <w:tc>
          <w:tcPr>
            <w:tcW w:w="6992" w:type="dxa"/>
          </w:tcPr>
          <w:p>
            <w:pPr>
              <w:spacing w:line="380" w:lineRule="exact"/>
              <w:rPr>
                <w:rFonts w:hint="eastAsia" w:ascii="宋体" w:hAnsi="宋体" w:eastAsia="宋体" w:cs="宋体"/>
                <w:sz w:val="24"/>
                <w:szCs w:val="24"/>
              </w:rPr>
            </w:pPr>
            <w:r>
              <w:rPr>
                <w:rFonts w:hint="eastAsia" w:ascii="宋体" w:hAnsi="宋体" w:eastAsia="宋体" w:cs="宋体"/>
                <w:sz w:val="24"/>
                <w:szCs w:val="24"/>
              </w:rPr>
              <w:t>1、合同签订后5个工作日内，采购人支付合同金额</w:t>
            </w:r>
            <w:r>
              <w:rPr>
                <w:rFonts w:hint="eastAsia" w:ascii="宋体" w:hAnsi="宋体" w:eastAsia="宋体" w:cs="宋体"/>
                <w:sz w:val="24"/>
                <w:szCs w:val="24"/>
                <w:lang w:val="en-US" w:eastAsia="zh-CN"/>
              </w:rPr>
              <w:t>30</w:t>
            </w:r>
            <w:r>
              <w:rPr>
                <w:rFonts w:hint="eastAsia" w:ascii="宋体" w:hAnsi="宋体" w:eastAsia="宋体" w:cs="宋体"/>
                <w:sz w:val="24"/>
                <w:szCs w:val="24"/>
              </w:rPr>
              <w:t>%费用，技术服务成果提交并通过验收后支付</w:t>
            </w:r>
            <w:r>
              <w:rPr>
                <w:rFonts w:hint="eastAsia" w:ascii="宋体" w:hAnsi="宋体" w:eastAsia="宋体" w:cs="宋体"/>
                <w:sz w:val="24"/>
                <w:szCs w:val="24"/>
                <w:lang w:val="en-US" w:eastAsia="zh-CN"/>
              </w:rPr>
              <w:t>70</w:t>
            </w:r>
            <w:r>
              <w:rPr>
                <w:rFonts w:hint="eastAsia" w:ascii="宋体" w:hAnsi="宋体" w:eastAsia="宋体" w:cs="宋体"/>
                <w:sz w:val="24"/>
                <w:szCs w:val="24"/>
              </w:rPr>
              <w:t>%费用。</w:t>
            </w:r>
          </w:p>
          <w:p>
            <w:pPr>
              <w:spacing w:line="380" w:lineRule="exact"/>
              <w:rPr>
                <w:rFonts w:ascii="宋体" w:hAnsi="宋体" w:eastAsia="宋体" w:cs="宋体"/>
                <w:sz w:val="24"/>
                <w:szCs w:val="24"/>
              </w:rPr>
            </w:pPr>
            <w:r>
              <w:rPr>
                <w:rFonts w:hint="eastAsia" w:ascii="宋体" w:hAnsi="宋体" w:eastAsia="宋体" w:cs="宋体"/>
                <w:sz w:val="24"/>
                <w:szCs w:val="24"/>
              </w:rPr>
              <w:t>2、尽管有上述付款时间的规定，应在本合同项下所有支付前向采购人提交支付申请以及所需的相关资料和合法合规的增值税专用发票等。</w:t>
            </w:r>
          </w:p>
          <w:p>
            <w:pPr>
              <w:spacing w:line="380" w:lineRule="exact"/>
              <w:rPr>
                <w:rFonts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采购人</w:t>
            </w:r>
            <w:r>
              <w:rPr>
                <w:rFonts w:hint="eastAsia" w:ascii="宋体" w:hAnsi="宋体" w:eastAsia="宋体" w:cs="宋体"/>
                <w:kern w:val="0"/>
                <w:sz w:val="24"/>
                <w:szCs w:val="24"/>
              </w:rPr>
              <w:t>只有在收到所有合格的支付凭证后，才向成交人支付。具体内容参照合同条款（附件）。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304" w:type="dxa"/>
            <w:vAlign w:val="center"/>
          </w:tcPr>
          <w:p>
            <w:pPr>
              <w:spacing w:line="380" w:lineRule="exact"/>
              <w:jc w:val="center"/>
              <w:rPr>
                <w:rFonts w:ascii="宋体" w:hAnsi="宋体" w:eastAsia="宋体" w:cs="宋体"/>
                <w:sz w:val="24"/>
                <w:szCs w:val="24"/>
              </w:rPr>
            </w:pPr>
            <w:r>
              <w:rPr>
                <w:rFonts w:hint="eastAsia" w:ascii="宋体" w:hAnsi="宋体" w:eastAsia="宋体" w:cs="宋体"/>
                <w:sz w:val="24"/>
                <w:szCs w:val="24"/>
              </w:rPr>
              <w:t>联系方式</w:t>
            </w:r>
          </w:p>
        </w:tc>
        <w:tc>
          <w:tcPr>
            <w:tcW w:w="6992" w:type="dxa"/>
          </w:tcPr>
          <w:p>
            <w:pPr>
              <w:spacing w:line="380" w:lineRule="exact"/>
              <w:rPr>
                <w:rFonts w:ascii="宋体" w:hAnsi="宋体" w:eastAsia="宋体" w:cs="宋体"/>
                <w:sz w:val="24"/>
                <w:szCs w:val="24"/>
              </w:rPr>
            </w:pPr>
            <w:r>
              <w:rPr>
                <w:rFonts w:hint="eastAsia" w:ascii="宋体" w:hAnsi="宋体" w:eastAsia="宋体" w:cs="宋体"/>
                <w:sz w:val="24"/>
                <w:szCs w:val="24"/>
              </w:rPr>
              <w:t>地址：西昌市河东大道惠民写字楼7楼711室</w:t>
            </w:r>
          </w:p>
          <w:p>
            <w:pPr>
              <w:spacing w:line="380" w:lineRule="exact"/>
              <w:rPr>
                <w:rFonts w:ascii="宋体" w:hAnsi="宋体" w:eastAsia="宋体" w:cs="宋体"/>
                <w:sz w:val="24"/>
                <w:szCs w:val="24"/>
              </w:rPr>
            </w:pPr>
            <w:r>
              <w:rPr>
                <w:rFonts w:hint="eastAsia" w:ascii="宋体" w:hAnsi="宋体" w:eastAsia="宋体" w:cs="宋体"/>
                <w:sz w:val="24"/>
                <w:szCs w:val="24"/>
              </w:rPr>
              <w:t>联系人：胡先生</w:t>
            </w:r>
          </w:p>
          <w:p>
            <w:pPr>
              <w:spacing w:line="380" w:lineRule="exact"/>
              <w:rPr>
                <w:rFonts w:ascii="宋体" w:hAnsi="宋体" w:eastAsia="宋体" w:cs="宋体"/>
                <w:sz w:val="24"/>
                <w:szCs w:val="24"/>
              </w:rPr>
            </w:pPr>
            <w:r>
              <w:rPr>
                <w:rFonts w:hint="eastAsia" w:ascii="宋体" w:hAnsi="宋体" w:eastAsia="宋体" w:cs="宋体"/>
                <w:sz w:val="24"/>
                <w:szCs w:val="24"/>
              </w:rPr>
              <w:t>联系电话： 0834-2502119</w:t>
            </w:r>
          </w:p>
        </w:tc>
      </w:tr>
    </w:tbl>
    <w:p>
      <w:pPr>
        <w:widowControl/>
        <w:jc w:val="left"/>
        <w:rPr>
          <w:rFonts w:ascii="宋体" w:hAnsi="宋体" w:eastAsia="宋体" w:cs="宋体"/>
          <w:b/>
          <w:sz w:val="24"/>
          <w:szCs w:val="24"/>
        </w:rPr>
      </w:pPr>
    </w:p>
    <w:p>
      <w:pPr>
        <w:rPr>
          <w:rFonts w:hAnsi="宋体" w:cs="宋体"/>
          <w:b/>
          <w:bCs/>
          <w:sz w:val="28"/>
          <w:szCs w:val="28"/>
        </w:rPr>
      </w:pPr>
      <w:r>
        <w:rPr>
          <w:rFonts w:hint="eastAsia" w:hAnsi="宋体" w:cs="宋体"/>
          <w:b/>
          <w:bCs/>
          <w:sz w:val="28"/>
          <w:szCs w:val="28"/>
        </w:rPr>
        <w:br w:type="page"/>
      </w:r>
    </w:p>
    <w:p>
      <w:pPr>
        <w:rPr>
          <w:rFonts w:hAnsi="宋体" w:cs="宋体"/>
          <w:sz w:val="32"/>
          <w:szCs w:val="32"/>
        </w:rPr>
      </w:pPr>
      <w:r>
        <w:rPr>
          <w:rFonts w:hint="eastAsia" w:hAnsi="宋体" w:cs="宋体"/>
          <w:b/>
          <w:bCs/>
          <w:sz w:val="28"/>
          <w:szCs w:val="28"/>
        </w:rPr>
        <w:t xml:space="preserve">附件一：                   </w:t>
      </w:r>
      <w:r>
        <w:rPr>
          <w:rFonts w:hint="eastAsia" w:hAnsi="宋体" w:cs="宋体"/>
          <w:sz w:val="32"/>
          <w:szCs w:val="32"/>
        </w:rPr>
        <w:t>综合评分明细表</w:t>
      </w:r>
    </w:p>
    <w:tbl>
      <w:tblPr>
        <w:tblStyle w:val="15"/>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48"/>
        <w:gridCol w:w="1956"/>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vAlign w:val="center"/>
          </w:tcPr>
          <w:p>
            <w:pPr>
              <w:pStyle w:val="34"/>
              <w:shd w:val="clear" w:color="auto" w:fill="auto"/>
              <w:tabs>
                <w:tab w:val="left" w:pos="3182"/>
              </w:tabs>
              <w:spacing w:line="360" w:lineRule="auto"/>
              <w:jc w:val="center"/>
              <w:rPr>
                <w:rFonts w:ascii="宋体" w:hAnsi="宋体" w:eastAsia="宋体" w:cs="宋体"/>
                <w:b/>
              </w:rPr>
            </w:pPr>
            <w:r>
              <w:rPr>
                <w:rFonts w:hint="eastAsia" w:ascii="宋体" w:hAnsi="宋体" w:eastAsia="宋体" w:cs="宋体"/>
                <w:b/>
              </w:rPr>
              <w:t>序号</w:t>
            </w:r>
          </w:p>
        </w:tc>
        <w:tc>
          <w:tcPr>
            <w:tcW w:w="1148" w:type="dxa"/>
            <w:vAlign w:val="center"/>
          </w:tcPr>
          <w:p>
            <w:pPr>
              <w:pStyle w:val="34"/>
              <w:shd w:val="clear" w:color="auto" w:fill="auto"/>
              <w:tabs>
                <w:tab w:val="left" w:pos="3182"/>
              </w:tabs>
              <w:spacing w:line="360" w:lineRule="auto"/>
              <w:jc w:val="center"/>
              <w:rPr>
                <w:rFonts w:ascii="宋体" w:hAnsi="宋体" w:eastAsia="宋体" w:cs="宋体"/>
                <w:b/>
              </w:rPr>
            </w:pPr>
            <w:r>
              <w:rPr>
                <w:rFonts w:hint="eastAsia" w:ascii="宋体" w:hAnsi="宋体" w:eastAsia="宋体" w:cs="宋体"/>
                <w:b/>
              </w:rPr>
              <w:t>评审项目</w:t>
            </w:r>
          </w:p>
        </w:tc>
        <w:tc>
          <w:tcPr>
            <w:tcW w:w="6660" w:type="dxa"/>
            <w:gridSpan w:val="2"/>
            <w:vAlign w:val="center"/>
          </w:tcPr>
          <w:p>
            <w:pPr>
              <w:pStyle w:val="34"/>
              <w:shd w:val="clear" w:color="auto" w:fill="auto"/>
              <w:tabs>
                <w:tab w:val="left" w:pos="3182"/>
              </w:tabs>
              <w:spacing w:line="360" w:lineRule="auto"/>
              <w:ind w:firstLine="21" w:firstLineChars="10"/>
              <w:jc w:val="center"/>
              <w:rPr>
                <w:rFonts w:ascii="宋体" w:hAnsi="宋体" w:eastAsia="宋体" w:cs="宋体"/>
                <w:b/>
                <w:lang w:val="zh-TW"/>
              </w:rPr>
            </w:pPr>
            <w:r>
              <w:rPr>
                <w:rFonts w:hint="eastAsia" w:ascii="宋体" w:hAnsi="宋体" w:eastAsia="宋体" w:cs="宋体"/>
                <w:b/>
                <w:lang w:val="zh-TW"/>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1</w:t>
            </w:r>
          </w:p>
        </w:tc>
        <w:tc>
          <w:tcPr>
            <w:tcW w:w="1148" w:type="dxa"/>
            <w:vAlign w:val="center"/>
          </w:tcPr>
          <w:p>
            <w:pPr>
              <w:pStyle w:val="35"/>
              <w:kinsoku w:val="0"/>
              <w:overflowPunct w:val="0"/>
              <w:jc w:val="center"/>
              <w:rPr>
                <w:rFonts w:hAnsi="宋体" w:cs="宋体"/>
                <w:sz w:val="21"/>
                <w:szCs w:val="21"/>
                <w:lang w:eastAsia="zh-CN"/>
              </w:rPr>
            </w:pPr>
            <w:r>
              <w:rPr>
                <w:rFonts w:hint="eastAsia" w:hAnsi="宋体" w:cs="宋体"/>
                <w:sz w:val="21"/>
                <w:szCs w:val="21"/>
                <w:lang w:eastAsia="zh-CN"/>
              </w:rPr>
              <w:t>分值构成</w:t>
            </w:r>
          </w:p>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（总分100）</w:t>
            </w:r>
          </w:p>
        </w:tc>
        <w:tc>
          <w:tcPr>
            <w:tcW w:w="6660" w:type="dxa"/>
            <w:gridSpan w:val="2"/>
            <w:vAlign w:val="center"/>
          </w:tcPr>
          <w:p>
            <w:pPr>
              <w:pStyle w:val="35"/>
              <w:kinsoku w:val="0"/>
              <w:overflowPunct w:val="0"/>
              <w:jc w:val="both"/>
              <w:rPr>
                <w:rFonts w:hAnsi="宋体" w:cs="宋体"/>
                <w:b/>
                <w:bCs/>
                <w:sz w:val="21"/>
                <w:szCs w:val="21"/>
                <w:lang w:eastAsia="zh-CN"/>
              </w:rPr>
            </w:pPr>
            <w:r>
              <w:rPr>
                <w:rFonts w:hint="eastAsia" w:hAnsi="宋体" w:cs="宋体"/>
                <w:b/>
                <w:bCs/>
                <w:sz w:val="21"/>
                <w:szCs w:val="21"/>
                <w:lang w:eastAsia="zh-CN"/>
              </w:rPr>
              <w:t>商务部分：55分</w:t>
            </w:r>
          </w:p>
          <w:p>
            <w:pPr>
              <w:pStyle w:val="35"/>
              <w:kinsoku w:val="0"/>
              <w:overflowPunct w:val="0"/>
              <w:jc w:val="both"/>
              <w:rPr>
                <w:rFonts w:hAnsi="宋体" w:cs="宋体"/>
                <w:b/>
                <w:bCs/>
                <w:sz w:val="21"/>
                <w:szCs w:val="21"/>
                <w:lang w:eastAsia="zh-CN"/>
              </w:rPr>
            </w:pPr>
            <w:r>
              <w:rPr>
                <w:rFonts w:hint="eastAsia" w:hAnsi="宋体" w:cs="宋体"/>
                <w:b/>
                <w:bCs/>
                <w:sz w:val="21"/>
                <w:szCs w:val="21"/>
                <w:lang w:eastAsia="zh-CN"/>
              </w:rPr>
              <w:t>技术方案：30分</w:t>
            </w:r>
          </w:p>
          <w:p>
            <w:pPr>
              <w:snapToGrid w:val="0"/>
              <w:rPr>
                <w:rFonts w:hAnsi="宋体" w:cs="宋体"/>
                <w:szCs w:val="21"/>
              </w:rPr>
            </w:pPr>
            <w:r>
              <w:rPr>
                <w:rFonts w:hint="eastAsia" w:hAnsi="宋体" w:cs="宋体"/>
                <w:b/>
                <w:bCs/>
                <w:szCs w:val="21"/>
              </w:rPr>
              <w:t>报    价：15分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2</w:t>
            </w:r>
          </w:p>
        </w:tc>
        <w:tc>
          <w:tcPr>
            <w:tcW w:w="1148" w:type="dxa"/>
            <w:vAlign w:val="center"/>
          </w:tcPr>
          <w:p>
            <w:pPr>
              <w:pStyle w:val="35"/>
              <w:kinsoku w:val="0"/>
              <w:overflowPunct w:val="0"/>
              <w:jc w:val="center"/>
              <w:rPr>
                <w:rFonts w:hAnsi="宋体" w:cs="宋体"/>
                <w:sz w:val="21"/>
                <w:szCs w:val="21"/>
                <w:lang w:eastAsia="zh-CN"/>
              </w:rPr>
            </w:pPr>
            <w:r>
              <w:rPr>
                <w:rFonts w:hint="eastAsia" w:hAnsi="宋体" w:cs="宋体"/>
                <w:sz w:val="21"/>
                <w:szCs w:val="21"/>
              </w:rPr>
              <w:t>评审</w:t>
            </w:r>
            <w:r>
              <w:rPr>
                <w:rFonts w:hint="eastAsia" w:hAnsi="宋体" w:cs="宋体"/>
                <w:sz w:val="21"/>
                <w:szCs w:val="21"/>
                <w:lang w:eastAsia="zh-CN"/>
              </w:rPr>
              <w:t>基准价计算方法</w:t>
            </w:r>
          </w:p>
        </w:tc>
        <w:tc>
          <w:tcPr>
            <w:tcW w:w="6660" w:type="dxa"/>
            <w:gridSpan w:val="2"/>
            <w:vAlign w:val="center"/>
          </w:tcPr>
          <w:p>
            <w:pPr>
              <w:pStyle w:val="35"/>
              <w:kinsoku w:val="0"/>
              <w:overflowPunct w:val="0"/>
              <w:jc w:val="both"/>
              <w:rPr>
                <w:rFonts w:hAnsi="宋体" w:cs="宋体"/>
                <w:sz w:val="21"/>
                <w:szCs w:val="21"/>
                <w:lang w:eastAsia="zh-CN"/>
              </w:rPr>
            </w:pPr>
            <w:r>
              <w:rPr>
                <w:rFonts w:hint="eastAsia" w:hAnsi="宋体" w:cs="宋体"/>
                <w:sz w:val="21"/>
                <w:szCs w:val="21"/>
                <w:lang w:eastAsia="zh-CN"/>
              </w:rPr>
              <w:t>评审基准价的计算:</w:t>
            </w:r>
          </w:p>
          <w:p>
            <w:pPr>
              <w:pStyle w:val="35"/>
              <w:kinsoku w:val="0"/>
              <w:overflowPunct w:val="0"/>
              <w:jc w:val="both"/>
              <w:rPr>
                <w:rFonts w:hAnsi="宋体" w:cs="宋体"/>
                <w:sz w:val="21"/>
                <w:szCs w:val="21"/>
                <w:lang w:eastAsia="zh-CN"/>
              </w:rPr>
            </w:pPr>
            <w:r>
              <w:rPr>
                <w:rFonts w:hint="eastAsia" w:hAnsi="宋体" w:cs="宋体"/>
                <w:sz w:val="21"/>
                <w:szCs w:val="21"/>
                <w:lang w:eastAsia="zh-CN"/>
              </w:rPr>
              <w:t>（1）评审价的确定:</w:t>
            </w:r>
          </w:p>
          <w:p>
            <w:pPr>
              <w:pStyle w:val="35"/>
              <w:kinsoku w:val="0"/>
              <w:overflowPunct w:val="0"/>
              <w:jc w:val="both"/>
              <w:rPr>
                <w:rFonts w:hAnsi="宋体" w:cs="宋体"/>
                <w:sz w:val="21"/>
                <w:szCs w:val="21"/>
                <w:lang w:eastAsia="zh-CN"/>
              </w:rPr>
            </w:pPr>
            <w:r>
              <w:rPr>
                <w:rFonts w:hint="eastAsia" w:hAnsi="宋体" w:cs="宋体"/>
                <w:sz w:val="21"/>
                <w:szCs w:val="21"/>
                <w:lang w:eastAsia="zh-CN"/>
              </w:rPr>
              <w:t>评审价=报价函文字报价</w:t>
            </w:r>
          </w:p>
          <w:p>
            <w:pPr>
              <w:pStyle w:val="35"/>
              <w:kinsoku w:val="0"/>
              <w:overflowPunct w:val="0"/>
              <w:jc w:val="both"/>
              <w:rPr>
                <w:rFonts w:hAnsi="宋体" w:cs="宋体"/>
                <w:sz w:val="21"/>
                <w:szCs w:val="21"/>
                <w:lang w:eastAsia="zh-CN"/>
              </w:rPr>
            </w:pPr>
            <w:r>
              <w:rPr>
                <w:rFonts w:hint="eastAsia" w:hAnsi="宋体" w:cs="宋体"/>
                <w:sz w:val="21"/>
                <w:szCs w:val="21"/>
                <w:lang w:eastAsia="zh-CN"/>
              </w:rPr>
              <w:t>（2）评审价平均值的计算:</w:t>
            </w:r>
          </w:p>
          <w:p>
            <w:pPr>
              <w:pStyle w:val="35"/>
              <w:kinsoku w:val="0"/>
              <w:overflowPunct w:val="0"/>
              <w:jc w:val="both"/>
              <w:rPr>
                <w:rFonts w:hAnsi="宋体" w:cs="宋体"/>
                <w:sz w:val="21"/>
                <w:szCs w:val="21"/>
                <w:lang w:eastAsia="zh-CN"/>
              </w:rPr>
            </w:pPr>
            <w:r>
              <w:rPr>
                <w:rFonts w:hint="eastAsia" w:hAnsi="宋体" w:cs="宋体"/>
                <w:sz w:val="21"/>
                <w:szCs w:val="21"/>
                <w:lang w:eastAsia="zh-CN"/>
              </w:rPr>
              <w:t>所有通过资格和响应性审查的报价人的有效报价，去掉一个最高值和一个最低值后的算术平均值即为评审申请价平均值（如参与评审价平均值计算的有效投标人少于6家时，则计算评审价平均值时不去掉最高值和最低值）。</w:t>
            </w:r>
          </w:p>
          <w:p>
            <w:pPr>
              <w:pStyle w:val="35"/>
              <w:kinsoku w:val="0"/>
              <w:overflowPunct w:val="0"/>
              <w:jc w:val="both"/>
              <w:rPr>
                <w:rFonts w:hAnsi="宋体" w:cs="宋体"/>
                <w:sz w:val="21"/>
                <w:szCs w:val="21"/>
                <w:lang w:eastAsia="zh-CN"/>
              </w:rPr>
            </w:pPr>
            <w:r>
              <w:rPr>
                <w:rFonts w:hint="eastAsia" w:hAnsi="宋体" w:cs="宋体"/>
                <w:sz w:val="21"/>
                <w:szCs w:val="21"/>
                <w:lang w:eastAsia="zh-CN"/>
              </w:rPr>
              <w:t>（2）评审基准价的确定：</w:t>
            </w:r>
          </w:p>
          <w:p>
            <w:pPr>
              <w:pStyle w:val="35"/>
              <w:kinsoku w:val="0"/>
              <w:overflowPunct w:val="0"/>
              <w:jc w:val="both"/>
              <w:rPr>
                <w:rFonts w:hAnsi="宋体" w:cs="宋体"/>
                <w:sz w:val="21"/>
                <w:szCs w:val="21"/>
                <w:lang w:eastAsia="zh-CN"/>
              </w:rPr>
            </w:pPr>
            <w:r>
              <w:rPr>
                <w:rFonts w:hint="eastAsia" w:hAnsi="宋体" w:cs="宋体"/>
                <w:sz w:val="21"/>
                <w:szCs w:val="21"/>
                <w:lang w:eastAsia="zh-CN"/>
              </w:rPr>
              <w:t>将评审价平均值直接作为评审基准价。</w:t>
            </w:r>
          </w:p>
          <w:p>
            <w:pPr>
              <w:pStyle w:val="35"/>
              <w:kinsoku w:val="0"/>
              <w:overflowPunct w:val="0"/>
              <w:jc w:val="both"/>
              <w:rPr>
                <w:rFonts w:hAnsi="宋体" w:cs="宋体"/>
                <w:w w:val="99"/>
                <w:sz w:val="21"/>
                <w:szCs w:val="21"/>
                <w:lang w:eastAsia="zh-CN"/>
              </w:rPr>
            </w:pPr>
            <w:r>
              <w:rPr>
                <w:rFonts w:hint="eastAsia" w:hAnsi="宋体" w:cs="宋体"/>
                <w:sz w:val="21"/>
                <w:szCs w:val="21"/>
                <w:lang w:eastAsia="zh-CN"/>
              </w:rPr>
              <w:t>在评审过程中，评审委员会应对计算的评审基准价进行复核，存在计算错误的应予以修正并在评审报告中作出说明。除此之外评审基准价在整个评审期间保持不变，不随任何因素发生变化。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3</w:t>
            </w:r>
          </w:p>
        </w:tc>
        <w:tc>
          <w:tcPr>
            <w:tcW w:w="1148" w:type="dxa"/>
            <w:vAlign w:val="center"/>
          </w:tcPr>
          <w:p>
            <w:pPr>
              <w:pStyle w:val="34"/>
              <w:shd w:val="clear" w:color="auto" w:fill="auto"/>
              <w:tabs>
                <w:tab w:val="left" w:pos="3182"/>
              </w:tabs>
              <w:spacing w:line="360" w:lineRule="auto"/>
              <w:jc w:val="center"/>
              <w:rPr>
                <w:rFonts w:ascii="宋体" w:hAnsi="宋体" w:eastAsia="宋体" w:cs="宋体"/>
                <w:lang w:val="zh-TW"/>
              </w:rPr>
            </w:pPr>
            <w:r>
              <w:rPr>
                <w:rFonts w:hint="eastAsia" w:ascii="宋体" w:hAnsi="宋体" w:eastAsia="宋体" w:cs="宋体"/>
              </w:rPr>
              <w:t>报价得分</w:t>
            </w:r>
          </w:p>
        </w:tc>
        <w:tc>
          <w:tcPr>
            <w:tcW w:w="1956"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15分</w:t>
            </w:r>
          </w:p>
        </w:tc>
        <w:tc>
          <w:tcPr>
            <w:tcW w:w="4704" w:type="dxa"/>
            <w:vAlign w:val="center"/>
          </w:tcPr>
          <w:p>
            <w:pPr>
              <w:snapToGrid w:val="0"/>
              <w:rPr>
                <w:rFonts w:hAnsi="宋体" w:cs="宋体"/>
                <w:szCs w:val="21"/>
              </w:rPr>
            </w:pPr>
            <w:r>
              <w:rPr>
                <w:rFonts w:hint="eastAsia" w:hAnsi="宋体" w:cs="宋体"/>
                <w:szCs w:val="21"/>
              </w:rPr>
              <w:t>1、评审基准价的确定:评标基准价等于通过初步评审的各报价人有效报价（不高于采购人规定的最高控制限价的报价人报价为有效报价）的算术平均值，评标基准价保留两位小数，小数点后第三位“四舍五入”。</w:t>
            </w:r>
          </w:p>
          <w:p>
            <w:pPr>
              <w:snapToGrid w:val="0"/>
              <w:rPr>
                <w:rFonts w:hAnsi="宋体" w:cs="宋体"/>
                <w:szCs w:val="21"/>
              </w:rPr>
            </w:pPr>
            <w:r>
              <w:rPr>
                <w:rFonts w:hint="eastAsia" w:hAnsi="宋体" w:cs="宋体"/>
                <w:szCs w:val="21"/>
              </w:rPr>
              <w:t>2、偏差率计算公式：偏差率=100%×|(评审价－基准价)/基准价|</w:t>
            </w:r>
          </w:p>
          <w:p>
            <w:pPr>
              <w:snapToGrid w:val="0"/>
              <w:rPr>
                <w:rFonts w:hAnsi="宋体" w:cs="宋体"/>
                <w:szCs w:val="21"/>
              </w:rPr>
            </w:pPr>
            <w:r>
              <w:rPr>
                <w:rFonts w:hint="eastAsia" w:hAnsi="宋体" w:cs="宋体"/>
                <w:szCs w:val="21"/>
              </w:rPr>
              <w:t>3、评审价得分计算公式，按照以下原则评分：</w:t>
            </w:r>
          </w:p>
          <w:p>
            <w:pPr>
              <w:snapToGrid w:val="0"/>
              <w:rPr>
                <w:rFonts w:hAnsi="宋体" w:cs="宋体"/>
                <w:szCs w:val="21"/>
              </w:rPr>
            </w:pPr>
            <w:r>
              <w:rPr>
                <w:rFonts w:hint="eastAsia" w:hAnsi="宋体" w:cs="宋体"/>
                <w:szCs w:val="21"/>
              </w:rPr>
              <w:t>a.如果投标人的评审价&gt;基准价，则报价得分＝15－偏差率×1.2×100；</w:t>
            </w:r>
          </w:p>
          <w:p>
            <w:pPr>
              <w:snapToGrid w:val="0"/>
              <w:rPr>
                <w:rFonts w:hAnsi="宋体" w:cs="宋体"/>
                <w:szCs w:val="21"/>
              </w:rPr>
            </w:pPr>
            <w:r>
              <w:rPr>
                <w:rFonts w:hint="eastAsia" w:hAnsi="宋体" w:cs="宋体"/>
                <w:szCs w:val="21"/>
              </w:rPr>
              <w:t>b. 投标人的评审价＜基准价，则报价得分＝15-偏差率×1.0×100。</w:t>
            </w:r>
          </w:p>
          <w:p>
            <w:pPr>
              <w:snapToGrid w:val="0"/>
              <w:rPr>
                <w:rFonts w:hAnsi="宋体" w:cs="宋体"/>
                <w:szCs w:val="21"/>
              </w:rPr>
            </w:pPr>
            <w:r>
              <w:rPr>
                <w:rFonts w:hint="eastAsia" w:hAnsi="宋体" w:cs="宋体"/>
                <w:szCs w:val="21"/>
              </w:rPr>
              <w:t>c. 投标人的评审价=基准价，则报价得分＝15分。</w:t>
            </w:r>
          </w:p>
          <w:p>
            <w:pPr>
              <w:snapToGrid w:val="0"/>
              <w:rPr>
                <w:rFonts w:hAnsi="宋体" w:cs="宋体"/>
                <w:szCs w:val="21"/>
              </w:rPr>
            </w:pPr>
            <w:r>
              <w:rPr>
                <w:rFonts w:hint="eastAsia" w:hAnsi="宋体" w:cs="宋体"/>
                <w:szCs w:val="21"/>
              </w:rPr>
              <w:t>d.报价分值最低得0分。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87"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4</w:t>
            </w:r>
          </w:p>
        </w:tc>
        <w:tc>
          <w:tcPr>
            <w:tcW w:w="1148" w:type="dxa"/>
            <w:vAlign w:val="center"/>
          </w:tcPr>
          <w:p>
            <w:pPr>
              <w:pStyle w:val="34"/>
              <w:shd w:val="clear" w:color="auto" w:fill="auto"/>
              <w:tabs>
                <w:tab w:val="left" w:pos="3182"/>
              </w:tabs>
              <w:spacing w:line="360" w:lineRule="auto"/>
              <w:jc w:val="center"/>
              <w:rPr>
                <w:rFonts w:ascii="宋体" w:hAnsi="宋体" w:eastAsia="宋体" w:cs="宋体"/>
                <w:lang w:val="zh-TW"/>
              </w:rPr>
            </w:pPr>
            <w:r>
              <w:rPr>
                <w:rFonts w:hint="eastAsia" w:ascii="宋体" w:hAnsi="宋体" w:eastAsia="宋体" w:cs="宋体"/>
              </w:rPr>
              <w:t>类似项目</w:t>
            </w:r>
            <w:r>
              <w:rPr>
                <w:rFonts w:hint="eastAsia" w:ascii="宋体" w:hAnsi="宋体" w:eastAsia="宋体" w:cs="宋体"/>
                <w:lang w:val="zh-TW"/>
              </w:rPr>
              <w:t>业绩</w:t>
            </w:r>
          </w:p>
        </w:tc>
        <w:tc>
          <w:tcPr>
            <w:tcW w:w="1956"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35分</w:t>
            </w:r>
          </w:p>
        </w:tc>
        <w:tc>
          <w:tcPr>
            <w:tcW w:w="4704" w:type="dxa"/>
            <w:vAlign w:val="center"/>
          </w:tcPr>
          <w:p>
            <w:pPr>
              <w:pStyle w:val="35"/>
              <w:kinsoku w:val="0"/>
              <w:overflowPunct w:val="0"/>
              <w:ind w:firstLine="420" w:firstLineChars="200"/>
              <w:rPr>
                <w:rFonts w:hint="eastAsia" w:hAnsi="宋体" w:cs="宋体"/>
                <w:sz w:val="21"/>
                <w:szCs w:val="21"/>
                <w:lang w:eastAsia="zh-CN"/>
              </w:rPr>
            </w:pPr>
            <w:r>
              <w:rPr>
                <w:rFonts w:hint="eastAsia" w:hAnsi="宋体" w:cs="宋体"/>
                <w:sz w:val="21"/>
                <w:szCs w:val="21"/>
                <w:lang w:eastAsia="zh-CN"/>
              </w:rPr>
              <w:t>投标人满足“询价函”资格要求得23分。</w:t>
            </w:r>
          </w:p>
          <w:p>
            <w:pPr>
              <w:pStyle w:val="35"/>
              <w:kinsoku w:val="0"/>
              <w:overflowPunct w:val="0"/>
              <w:ind w:firstLine="420" w:firstLineChars="200"/>
              <w:rPr>
                <w:rFonts w:hint="eastAsia" w:hAnsi="宋体" w:cs="宋体"/>
                <w:sz w:val="21"/>
                <w:szCs w:val="21"/>
                <w:lang w:eastAsia="zh-CN"/>
              </w:rPr>
            </w:pPr>
            <w:r>
              <w:rPr>
                <w:rFonts w:hint="eastAsia" w:hAnsi="宋体" w:cs="宋体"/>
                <w:sz w:val="21"/>
                <w:szCs w:val="21"/>
                <w:lang w:eastAsia="zh-CN"/>
              </w:rPr>
              <w:t>除满足基本资格要求外，投标人近三年（2018年1月1日至今，以合同签订时间为准）每增加一个同时承担高速公路工程施工安全风险评估和应急预案业绩的加2分，最多得12分。</w:t>
            </w:r>
          </w:p>
          <w:p>
            <w:pPr>
              <w:pStyle w:val="35"/>
              <w:kinsoku w:val="0"/>
              <w:overflowPunct w:val="0"/>
              <w:ind w:firstLine="420" w:firstLineChars="200"/>
              <w:rPr>
                <w:rFonts w:hAnsi="宋体" w:cs="宋体"/>
                <w:szCs w:val="21"/>
                <w:lang w:val="zh-TW"/>
              </w:rPr>
            </w:pPr>
            <w:r>
              <w:rPr>
                <w:rFonts w:hint="eastAsia" w:hAnsi="宋体" w:cs="宋体"/>
                <w:sz w:val="21"/>
                <w:szCs w:val="21"/>
                <w:lang w:eastAsia="zh-CN"/>
              </w:rPr>
              <w:t>提供项目合同或中标通知书扫描复印件，如不能证明其相关内容，可提供项目业主出具的有效业绩证明材料。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87"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5</w:t>
            </w:r>
          </w:p>
        </w:tc>
        <w:tc>
          <w:tcPr>
            <w:tcW w:w="1148"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项目负责人</w:t>
            </w:r>
          </w:p>
        </w:tc>
        <w:tc>
          <w:tcPr>
            <w:tcW w:w="1956" w:type="dxa"/>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20分</w:t>
            </w:r>
          </w:p>
        </w:tc>
        <w:tc>
          <w:tcPr>
            <w:tcW w:w="4704" w:type="dxa"/>
            <w:vAlign w:val="center"/>
          </w:tcPr>
          <w:p>
            <w:pPr>
              <w:pStyle w:val="35"/>
              <w:kinsoku w:val="0"/>
              <w:overflowPunct w:val="0"/>
              <w:ind w:firstLine="420" w:firstLineChars="200"/>
              <w:rPr>
                <w:rFonts w:hint="eastAsia" w:hAnsi="宋体" w:cs="宋体"/>
                <w:sz w:val="21"/>
                <w:szCs w:val="21"/>
                <w:lang w:eastAsia="zh-CN"/>
              </w:rPr>
            </w:pPr>
            <w:r>
              <w:rPr>
                <w:rFonts w:hint="eastAsia" w:hAnsi="宋体" w:cs="宋体"/>
                <w:sz w:val="21"/>
                <w:szCs w:val="21"/>
                <w:lang w:eastAsia="zh-CN"/>
              </w:rPr>
              <w:t>投标人满足“询价函”资格要求得14分，除满足基本资格要求外：</w:t>
            </w:r>
          </w:p>
          <w:p>
            <w:pPr>
              <w:pStyle w:val="35"/>
              <w:kinsoku w:val="0"/>
              <w:overflowPunct w:val="0"/>
              <w:ind w:firstLine="420" w:firstLineChars="200"/>
              <w:rPr>
                <w:rFonts w:hint="eastAsia" w:hAnsi="宋体" w:cs="宋体"/>
                <w:sz w:val="21"/>
                <w:szCs w:val="21"/>
                <w:lang w:eastAsia="zh-CN"/>
              </w:rPr>
            </w:pPr>
            <w:r>
              <w:rPr>
                <w:rFonts w:hint="eastAsia" w:hAnsi="宋体" w:cs="宋体"/>
                <w:sz w:val="21"/>
                <w:szCs w:val="21"/>
                <w:lang w:eastAsia="zh-CN"/>
              </w:rPr>
              <w:t>项目负责人每增加一个同时承担高速公路工程施工安全风险评估和应急预案项目负责人业绩的加2分，此项最多加6分。</w:t>
            </w:r>
          </w:p>
          <w:p>
            <w:pPr>
              <w:snapToGrid w:val="0"/>
              <w:ind w:firstLine="420" w:firstLineChars="200"/>
              <w:rPr>
                <w:rFonts w:hAnsi="宋体" w:cs="宋体"/>
                <w:szCs w:val="21"/>
              </w:rPr>
            </w:pPr>
            <w:r>
              <w:rPr>
                <w:rFonts w:hint="eastAsia" w:hAnsi="宋体" w:cs="宋体"/>
                <w:szCs w:val="21"/>
              </w:rPr>
              <w:t>提供项目负责人身份证、职称证等相关证件扫描复印件以及个人业绩证明材料。项目负责人还须提供近半年（2021年1月起）在本单位参加社保的有效证明材料（并加盖社保机构单位章）。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87" w:type="dxa"/>
            <w:vMerge w:val="restart"/>
            <w:vAlign w:val="center"/>
          </w:tcPr>
          <w:p>
            <w:pPr>
              <w:pStyle w:val="34"/>
              <w:shd w:val="clear" w:color="auto" w:fill="auto"/>
              <w:tabs>
                <w:tab w:val="left" w:pos="3182"/>
              </w:tabs>
              <w:spacing w:line="360" w:lineRule="auto"/>
              <w:jc w:val="center"/>
              <w:rPr>
                <w:rFonts w:ascii="宋体" w:hAnsi="宋体" w:eastAsia="宋体" w:cs="宋体"/>
              </w:rPr>
            </w:pPr>
            <w:r>
              <w:rPr>
                <w:rFonts w:hint="eastAsia" w:ascii="宋体" w:hAnsi="宋体" w:eastAsia="宋体" w:cs="宋体"/>
              </w:rPr>
              <w:t>6</w:t>
            </w:r>
          </w:p>
        </w:tc>
        <w:tc>
          <w:tcPr>
            <w:tcW w:w="1148" w:type="dxa"/>
            <w:vMerge w:val="restart"/>
            <w:vAlign w:val="center"/>
          </w:tcPr>
          <w:p>
            <w:pPr>
              <w:jc w:val="center"/>
              <w:rPr>
                <w:rFonts w:hAnsi="宋体" w:cs="宋体"/>
                <w:szCs w:val="21"/>
              </w:rPr>
            </w:pPr>
          </w:p>
          <w:p>
            <w:pPr>
              <w:jc w:val="center"/>
              <w:rPr>
                <w:rFonts w:hAnsi="宋体" w:cs="宋体"/>
                <w:szCs w:val="21"/>
              </w:rPr>
            </w:pPr>
          </w:p>
          <w:p>
            <w:pPr>
              <w:jc w:val="center"/>
              <w:rPr>
                <w:rFonts w:hAnsi="宋体" w:cs="宋体"/>
                <w:szCs w:val="21"/>
              </w:rPr>
            </w:pPr>
            <w:r>
              <w:rPr>
                <w:rFonts w:hint="eastAsia" w:hAnsi="宋体" w:cs="宋体"/>
                <w:szCs w:val="21"/>
              </w:rPr>
              <w:t>技术方案（30分）</w:t>
            </w:r>
          </w:p>
          <w:p>
            <w:pPr>
              <w:jc w:val="center"/>
              <w:rPr>
                <w:rFonts w:hAnsi="宋体" w:cs="宋体"/>
                <w:szCs w:val="21"/>
              </w:rPr>
            </w:pPr>
          </w:p>
          <w:p>
            <w:pPr>
              <w:jc w:val="center"/>
              <w:rPr>
                <w:rFonts w:hAnsi="宋体" w:cs="宋体"/>
                <w:szCs w:val="21"/>
              </w:rPr>
            </w:pPr>
          </w:p>
          <w:p>
            <w:pPr>
              <w:jc w:val="center"/>
              <w:rPr>
                <w:rFonts w:hAnsi="宋体" w:cs="宋体"/>
                <w:b/>
                <w:szCs w:val="21"/>
              </w:rPr>
            </w:pPr>
          </w:p>
        </w:tc>
        <w:tc>
          <w:tcPr>
            <w:tcW w:w="1956" w:type="dxa"/>
            <w:vAlign w:val="center"/>
          </w:tcPr>
          <w:p>
            <w:pPr>
              <w:snapToGrid w:val="0"/>
              <w:jc w:val="left"/>
              <w:rPr>
                <w:rFonts w:hAnsi="宋体" w:cs="宋体"/>
                <w:szCs w:val="21"/>
              </w:rPr>
            </w:pPr>
            <w:r>
              <w:rPr>
                <w:rFonts w:hint="eastAsia" w:hAnsi="宋体" w:cs="宋体"/>
                <w:szCs w:val="21"/>
              </w:rPr>
              <w:t>对</w:t>
            </w:r>
            <w:r>
              <w:rPr>
                <w:rFonts w:hint="eastAsia" w:hAnsi="宋体" w:cs="宋体"/>
                <w:szCs w:val="21"/>
                <w:lang w:val="en-US" w:eastAsia="zh-CN"/>
              </w:rPr>
              <w:t>安全体系建设</w:t>
            </w:r>
            <w:r>
              <w:rPr>
                <w:rFonts w:hint="eastAsia" w:hAnsi="宋体" w:cs="宋体"/>
                <w:szCs w:val="21"/>
              </w:rPr>
              <w:t>及应急预案</w:t>
            </w:r>
            <w:r>
              <w:rPr>
                <w:rFonts w:hint="eastAsia" w:hAnsi="宋体" w:cs="宋体"/>
                <w:szCs w:val="21"/>
                <w:lang w:val="en-US" w:eastAsia="zh-CN"/>
              </w:rPr>
              <w:t>等</w:t>
            </w:r>
            <w:r>
              <w:rPr>
                <w:rFonts w:hint="eastAsia" w:hAnsi="宋体" w:cs="宋体"/>
                <w:szCs w:val="21"/>
              </w:rPr>
              <w:t>工作的理解和总体认识（7分）</w:t>
            </w:r>
          </w:p>
        </w:tc>
        <w:tc>
          <w:tcPr>
            <w:tcW w:w="4704" w:type="dxa"/>
          </w:tcPr>
          <w:p>
            <w:pPr>
              <w:snapToGrid w:val="0"/>
              <w:jc w:val="left"/>
              <w:rPr>
                <w:rFonts w:hAnsi="宋体" w:cs="宋体"/>
                <w:szCs w:val="21"/>
              </w:rPr>
            </w:pPr>
            <w:r>
              <w:rPr>
                <w:rFonts w:hint="eastAsia" w:hAnsi="宋体" w:cs="宋体"/>
                <w:szCs w:val="21"/>
              </w:rPr>
              <w:t>对施工安全风险评估及应急预案工作的理解和总体思路符合项目基本需求的得基础分4分，总体思路具有科学性、先进性、合理性的可加0-3分，本项最高7分；</w:t>
            </w:r>
          </w:p>
          <w:p>
            <w:pPr>
              <w:rPr>
                <w:rFonts w:hint="eastAsia"/>
              </w:rPr>
            </w:pPr>
            <w:r>
              <w:rPr>
                <w:rFonts w:hint="eastAsia" w:hAnsi="宋体" w:cs="宋体"/>
                <w:szCs w:val="21"/>
              </w:rPr>
              <w:t>优得6.3-7.0分，良得5.6-6.2分，一般得4.2-5.5分，有此项内容最低得4.2分，无此项得0分；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87" w:type="dxa"/>
            <w:vMerge w:val="continue"/>
            <w:vAlign w:val="center"/>
          </w:tcPr>
          <w:p>
            <w:pPr>
              <w:pStyle w:val="34"/>
              <w:shd w:val="clear" w:color="auto" w:fill="auto"/>
              <w:tabs>
                <w:tab w:val="left" w:pos="3182"/>
              </w:tabs>
              <w:spacing w:line="360" w:lineRule="auto"/>
              <w:jc w:val="center"/>
              <w:rPr>
                <w:rFonts w:ascii="宋体" w:hAnsi="宋体" w:eastAsia="宋体" w:cs="宋体"/>
              </w:rPr>
            </w:pPr>
          </w:p>
        </w:tc>
        <w:tc>
          <w:tcPr>
            <w:tcW w:w="1148" w:type="dxa"/>
            <w:vMerge w:val="continue"/>
            <w:vAlign w:val="center"/>
          </w:tcPr>
          <w:p>
            <w:pPr>
              <w:jc w:val="center"/>
              <w:rPr>
                <w:rFonts w:hAnsi="宋体" w:cs="宋体"/>
                <w:szCs w:val="21"/>
              </w:rPr>
            </w:pPr>
          </w:p>
        </w:tc>
        <w:tc>
          <w:tcPr>
            <w:tcW w:w="1956" w:type="dxa"/>
            <w:vAlign w:val="center"/>
          </w:tcPr>
          <w:p>
            <w:pPr>
              <w:snapToGrid w:val="0"/>
              <w:jc w:val="left"/>
              <w:rPr>
                <w:rFonts w:hAnsi="宋体" w:cs="宋体"/>
                <w:szCs w:val="21"/>
              </w:rPr>
            </w:pPr>
            <w:r>
              <w:rPr>
                <w:rFonts w:hint="eastAsia" w:hAnsi="宋体" w:cs="宋体"/>
                <w:szCs w:val="21"/>
              </w:rPr>
              <w:t>对</w:t>
            </w:r>
            <w:r>
              <w:rPr>
                <w:rFonts w:hint="eastAsia" w:hAnsi="宋体" w:cs="宋体"/>
                <w:szCs w:val="21"/>
                <w:lang w:val="en-US" w:eastAsia="zh-CN"/>
              </w:rPr>
              <w:t>安全体系建设</w:t>
            </w:r>
            <w:r>
              <w:rPr>
                <w:rFonts w:hint="eastAsia" w:hAnsi="宋体" w:cs="宋体"/>
                <w:szCs w:val="21"/>
              </w:rPr>
              <w:t>及应急预案的重难点和关键技术问题的认识及其对策措施（10分）</w:t>
            </w:r>
          </w:p>
        </w:tc>
        <w:tc>
          <w:tcPr>
            <w:tcW w:w="4704" w:type="dxa"/>
          </w:tcPr>
          <w:p>
            <w:pPr>
              <w:snapToGrid w:val="0"/>
              <w:jc w:val="left"/>
              <w:rPr>
                <w:rFonts w:hAnsi="宋体" w:cs="宋体"/>
                <w:szCs w:val="21"/>
              </w:rPr>
            </w:pPr>
            <w:r>
              <w:rPr>
                <w:rFonts w:hint="eastAsia" w:hAnsi="宋体" w:cs="宋体"/>
                <w:szCs w:val="21"/>
              </w:rPr>
              <w:t>对</w:t>
            </w:r>
            <w:r>
              <w:rPr>
                <w:rFonts w:hint="eastAsia" w:hAnsi="宋体" w:cs="宋体"/>
                <w:szCs w:val="21"/>
                <w:lang w:val="en-US" w:eastAsia="zh-CN"/>
              </w:rPr>
              <w:t>安全体系建设</w:t>
            </w:r>
            <w:r>
              <w:rPr>
                <w:rFonts w:hint="eastAsia" w:hAnsi="宋体" w:cs="宋体"/>
                <w:szCs w:val="21"/>
              </w:rPr>
              <w:t>及应急预案重难点的理解程度、对关键技术问题的把握基本满足项目需求的得基础分6分，对重难点理解透彻、关键技术问题的认识准确，对策措施程序合理的可加分0-4分，本项最高10分；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87" w:type="dxa"/>
            <w:vMerge w:val="continue"/>
            <w:vAlign w:val="center"/>
          </w:tcPr>
          <w:p>
            <w:pPr>
              <w:pStyle w:val="34"/>
              <w:shd w:val="clear" w:color="auto" w:fill="auto"/>
              <w:tabs>
                <w:tab w:val="left" w:pos="3182"/>
              </w:tabs>
              <w:spacing w:line="360" w:lineRule="auto"/>
              <w:jc w:val="center"/>
              <w:rPr>
                <w:rFonts w:ascii="宋体" w:hAnsi="宋体" w:eastAsia="宋体" w:cs="宋体"/>
              </w:rPr>
            </w:pPr>
          </w:p>
        </w:tc>
        <w:tc>
          <w:tcPr>
            <w:tcW w:w="1148" w:type="dxa"/>
            <w:vMerge w:val="continue"/>
            <w:vAlign w:val="center"/>
          </w:tcPr>
          <w:p>
            <w:pPr>
              <w:pStyle w:val="34"/>
              <w:shd w:val="clear" w:color="auto" w:fill="auto"/>
              <w:tabs>
                <w:tab w:val="left" w:pos="3182"/>
              </w:tabs>
              <w:spacing w:line="360" w:lineRule="auto"/>
              <w:jc w:val="center"/>
              <w:rPr>
                <w:rFonts w:ascii="宋体" w:hAnsi="宋体" w:eastAsia="宋体" w:cs="宋体"/>
              </w:rPr>
            </w:pPr>
          </w:p>
        </w:tc>
        <w:tc>
          <w:tcPr>
            <w:tcW w:w="1956" w:type="dxa"/>
            <w:vAlign w:val="center"/>
          </w:tcPr>
          <w:p>
            <w:pPr>
              <w:pStyle w:val="35"/>
              <w:kinsoku w:val="0"/>
              <w:overflowPunct w:val="0"/>
              <w:jc w:val="center"/>
              <w:rPr>
                <w:rFonts w:hAnsi="宋体" w:cs="宋体"/>
                <w:sz w:val="21"/>
                <w:szCs w:val="21"/>
                <w:lang w:eastAsia="zh-CN"/>
              </w:rPr>
            </w:pPr>
            <w:r>
              <w:rPr>
                <w:rFonts w:hint="eastAsia" w:hAnsi="宋体" w:cs="宋体"/>
                <w:sz w:val="21"/>
                <w:szCs w:val="21"/>
                <w:lang w:eastAsia="zh-CN"/>
              </w:rPr>
              <w:t>质量、进度保证措施及组织管理机构（8分）</w:t>
            </w:r>
          </w:p>
        </w:tc>
        <w:tc>
          <w:tcPr>
            <w:tcW w:w="4704" w:type="dxa"/>
            <w:vAlign w:val="center"/>
          </w:tcPr>
          <w:p>
            <w:pPr>
              <w:pStyle w:val="35"/>
              <w:kinsoku w:val="0"/>
              <w:overflowPunct w:val="0"/>
              <w:rPr>
                <w:rFonts w:hAnsi="宋体" w:cs="宋体"/>
                <w:sz w:val="21"/>
                <w:szCs w:val="21"/>
                <w:lang w:eastAsia="zh-CN"/>
              </w:rPr>
            </w:pPr>
            <w:r>
              <w:rPr>
                <w:rFonts w:hint="eastAsia" w:hAnsi="宋体" w:cs="宋体"/>
                <w:sz w:val="21"/>
                <w:szCs w:val="21"/>
                <w:lang w:val="en-US" w:eastAsia="zh-CN"/>
              </w:rPr>
              <w:t>安全体系建设</w:t>
            </w:r>
            <w:r>
              <w:rPr>
                <w:rFonts w:hint="eastAsia" w:hAnsi="宋体" w:cs="宋体"/>
                <w:sz w:val="21"/>
                <w:szCs w:val="21"/>
                <w:lang w:eastAsia="zh-CN"/>
              </w:rPr>
              <w:t>及应急预案工作的质量、进度保证措施仅能满足项目基本需求的得5分，对本项目有针对性且切实可行的可加0-3分，本项最高8分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87" w:type="dxa"/>
            <w:vMerge w:val="continue"/>
          </w:tcPr>
          <w:p>
            <w:pPr>
              <w:pStyle w:val="34"/>
              <w:shd w:val="clear" w:color="auto" w:fill="auto"/>
              <w:tabs>
                <w:tab w:val="left" w:pos="3182"/>
              </w:tabs>
              <w:spacing w:line="360" w:lineRule="auto"/>
              <w:jc w:val="center"/>
              <w:rPr>
                <w:rFonts w:ascii="宋体" w:hAnsi="宋体" w:eastAsia="宋体" w:cs="宋体"/>
              </w:rPr>
            </w:pPr>
          </w:p>
        </w:tc>
        <w:tc>
          <w:tcPr>
            <w:tcW w:w="1148" w:type="dxa"/>
            <w:vMerge w:val="continue"/>
          </w:tcPr>
          <w:p>
            <w:pPr>
              <w:pStyle w:val="34"/>
              <w:shd w:val="clear" w:color="auto" w:fill="auto"/>
              <w:tabs>
                <w:tab w:val="left" w:pos="3182"/>
              </w:tabs>
              <w:spacing w:line="360" w:lineRule="auto"/>
              <w:jc w:val="center"/>
              <w:rPr>
                <w:rFonts w:ascii="宋体" w:hAnsi="宋体" w:eastAsia="宋体" w:cs="宋体"/>
              </w:rPr>
            </w:pPr>
          </w:p>
        </w:tc>
        <w:tc>
          <w:tcPr>
            <w:tcW w:w="1956" w:type="dxa"/>
            <w:vAlign w:val="center"/>
          </w:tcPr>
          <w:p>
            <w:pPr>
              <w:snapToGrid w:val="0"/>
              <w:jc w:val="left"/>
              <w:rPr>
                <w:rFonts w:hAnsi="宋体" w:cs="宋体"/>
                <w:szCs w:val="21"/>
              </w:rPr>
            </w:pPr>
            <w:r>
              <w:rPr>
                <w:rFonts w:hint="eastAsia" w:hAnsi="宋体" w:cs="宋体"/>
                <w:szCs w:val="21"/>
              </w:rPr>
              <w:t>后续服务承诺、安排及保证措施（5）</w:t>
            </w:r>
          </w:p>
        </w:tc>
        <w:tc>
          <w:tcPr>
            <w:tcW w:w="4704" w:type="dxa"/>
            <w:vAlign w:val="center"/>
          </w:tcPr>
          <w:p>
            <w:pPr>
              <w:snapToGrid w:val="0"/>
              <w:rPr>
                <w:rFonts w:hAnsi="宋体" w:cs="宋体"/>
                <w:szCs w:val="21"/>
              </w:rPr>
            </w:pPr>
            <w:r>
              <w:rPr>
                <w:rFonts w:hint="eastAsia" w:hAnsi="宋体" w:cs="宋体"/>
                <w:szCs w:val="21"/>
              </w:rPr>
              <w:t>有后续服务的安排及保证措施的得基础分2分，后续服务安排得当、服务承诺符合招标人需求的可加0-3分，本项最高5分；</w:t>
            </w:r>
          </w:p>
        </w:tc>
      </w:tr>
    </w:tbl>
    <w:p>
      <w:pPr>
        <w:snapToGrid w:val="0"/>
        <w:rPr>
          <w:rFonts w:hAnsi="宋体" w:cs="宋体"/>
          <w:sz w:val="24"/>
          <w:szCs w:val="24"/>
        </w:rPr>
      </w:pPr>
      <w:r>
        <w:rPr>
          <w:rFonts w:hint="eastAsia" w:hAnsi="宋体" w:cs="宋体"/>
          <w:sz w:val="24"/>
          <w:szCs w:val="24"/>
        </w:rPr>
        <w:t>注：评分的取值按四舍五入法，保留小数点后两位。</w:t>
      </w:r>
    </w:p>
    <w:p>
      <w:pPr>
        <w:rPr>
          <w:rFonts w:ascii="宋体" w:hAnsi="宋体" w:eastAsia="宋体" w:cs="宋体"/>
          <w:b/>
          <w:sz w:val="24"/>
          <w:szCs w:val="24"/>
        </w:rPr>
      </w:pPr>
      <w:r>
        <w:rPr>
          <w:rFonts w:hint="eastAsia" w:ascii="宋体" w:hAnsi="宋体" w:eastAsia="宋体" w:cs="宋体"/>
          <w:b/>
          <w:sz w:val="24"/>
          <w:szCs w:val="24"/>
        </w:rPr>
        <w:br w:type="page"/>
      </w:r>
    </w:p>
    <w:p>
      <w:pPr>
        <w:spacing w:line="380" w:lineRule="exact"/>
        <w:rPr>
          <w:rFonts w:ascii="宋体" w:hAnsi="宋体" w:eastAsia="宋体" w:cs="宋体"/>
          <w:b/>
          <w:sz w:val="24"/>
          <w:szCs w:val="24"/>
        </w:rPr>
      </w:pPr>
      <w:r>
        <w:rPr>
          <w:rFonts w:hint="eastAsia" w:ascii="宋体" w:hAnsi="宋体" w:eastAsia="宋体" w:cs="宋体"/>
          <w:b/>
          <w:sz w:val="24"/>
          <w:szCs w:val="24"/>
        </w:rPr>
        <w:t>附件二：</w:t>
      </w:r>
    </w:p>
    <w:p>
      <w:pPr>
        <w:spacing w:before="156" w:beforeLines="50" w:after="156" w:afterLines="50"/>
        <w:jc w:val="center"/>
        <w:rPr>
          <w:rFonts w:ascii="宋体" w:hAnsi="宋体" w:eastAsia="宋体" w:cs="宋体"/>
          <w:b/>
          <w:sz w:val="32"/>
          <w:szCs w:val="32"/>
        </w:rPr>
      </w:pPr>
      <w:r>
        <w:rPr>
          <w:rFonts w:hint="eastAsia" w:ascii="宋体" w:hAnsi="宋体" w:eastAsia="宋体" w:cs="宋体"/>
          <w:b/>
          <w:sz w:val="32"/>
          <w:szCs w:val="32"/>
        </w:rPr>
        <w:t>报价表</w:t>
      </w:r>
    </w:p>
    <w:tbl>
      <w:tblPr>
        <w:tblStyle w:val="15"/>
        <w:tblW w:w="8296" w:type="dxa"/>
        <w:tblInd w:w="0" w:type="dxa"/>
        <w:tblLayout w:type="fixed"/>
        <w:tblCellMar>
          <w:top w:w="0" w:type="dxa"/>
          <w:left w:w="108" w:type="dxa"/>
          <w:bottom w:w="0" w:type="dxa"/>
          <w:right w:w="108" w:type="dxa"/>
        </w:tblCellMar>
      </w:tblPr>
      <w:tblGrid>
        <w:gridCol w:w="3883"/>
        <w:gridCol w:w="1341"/>
        <w:gridCol w:w="1427"/>
        <w:gridCol w:w="7"/>
        <w:gridCol w:w="1638"/>
      </w:tblGrid>
      <w:tr>
        <w:trPr>
          <w:trHeight w:val="327" w:hRule="atLeast"/>
        </w:trPr>
        <w:tc>
          <w:tcPr>
            <w:tcW w:w="3883" w:type="dxa"/>
            <w:tcBorders>
              <w:top w:val="single" w:color="auto" w:sz="4" w:space="0"/>
              <w:left w:val="single" w:color="auto" w:sz="4" w:space="0"/>
              <w:bottom w:val="single" w:color="auto" w:sz="4" w:space="0"/>
              <w:right w:val="single" w:color="auto" w:sz="4" w:space="0"/>
              <w:tl2br w:val="nil"/>
              <w:tr2bl w:val="nil"/>
            </w:tcBorders>
            <w:shd w:val="clear" w:color="000000" w:fill="FFFFFF"/>
          </w:tcPr>
          <w:p>
            <w:pPr>
              <w:widowControl/>
              <w:jc w:val="center"/>
              <w:rPr>
                <w:rFonts w:ascii="宋体" w:hAnsi="宋体" w:eastAsia="宋体" w:cs="宋体"/>
                <w:b/>
                <w:sz w:val="24"/>
                <w:szCs w:val="24"/>
              </w:rPr>
            </w:pPr>
            <w:r>
              <w:rPr>
                <w:rFonts w:hint="eastAsia" w:ascii="宋体" w:hAnsi="宋体" w:eastAsia="宋体" w:cs="宋体"/>
                <w:b/>
                <w:sz w:val="24"/>
                <w:szCs w:val="24"/>
              </w:rPr>
              <w:t>工作内容</w:t>
            </w:r>
          </w:p>
        </w:tc>
        <w:tc>
          <w:tcPr>
            <w:tcW w:w="134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jc w:val="center"/>
              <w:rPr>
                <w:rFonts w:ascii="宋体" w:hAnsi="宋体" w:eastAsia="宋体" w:cs="宋体"/>
                <w:b/>
                <w:sz w:val="24"/>
                <w:szCs w:val="24"/>
              </w:rPr>
            </w:pPr>
            <w:r>
              <w:rPr>
                <w:rFonts w:hint="eastAsia" w:ascii="宋体" w:hAnsi="宋体" w:eastAsia="宋体" w:cs="宋体"/>
                <w:b/>
                <w:sz w:val="24"/>
                <w:szCs w:val="24"/>
              </w:rPr>
              <w:t>报价</w:t>
            </w:r>
          </w:p>
        </w:tc>
        <w:tc>
          <w:tcPr>
            <w:tcW w:w="1434"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jc w:val="center"/>
              <w:rPr>
                <w:rFonts w:ascii="宋体" w:hAnsi="宋体" w:eastAsia="宋体" w:cs="宋体"/>
                <w:b/>
                <w:sz w:val="24"/>
                <w:szCs w:val="24"/>
              </w:rPr>
            </w:pPr>
            <w:r>
              <w:rPr>
                <w:rFonts w:hint="eastAsia" w:ascii="宋体" w:hAnsi="宋体" w:eastAsia="宋体" w:cs="宋体"/>
                <w:b/>
                <w:sz w:val="24"/>
                <w:szCs w:val="24"/>
              </w:rPr>
              <w:t>税率（%）</w:t>
            </w:r>
          </w:p>
        </w:tc>
        <w:tc>
          <w:tcPr>
            <w:tcW w:w="1638"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备注</w:t>
            </w:r>
          </w:p>
        </w:tc>
      </w:tr>
      <w:tr>
        <w:tblPrEx>
          <w:tblCellMar>
            <w:top w:w="0" w:type="dxa"/>
            <w:left w:w="108" w:type="dxa"/>
            <w:bottom w:w="0" w:type="dxa"/>
            <w:right w:w="108" w:type="dxa"/>
          </w:tblCellMar>
        </w:tblPrEx>
        <w:trPr>
          <w:trHeight w:val="565" w:hRule="atLeast"/>
        </w:trPr>
        <w:tc>
          <w:tcPr>
            <w:tcW w:w="3883"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widowControl/>
              <w:spacing w:line="380" w:lineRule="exact"/>
              <w:jc w:val="center"/>
              <w:rPr>
                <w:rFonts w:ascii="宋体" w:hAnsi="宋体" w:eastAsia="宋体" w:cs="宋体"/>
                <w:b/>
                <w:bCs/>
                <w:sz w:val="24"/>
                <w:szCs w:val="24"/>
              </w:rPr>
            </w:pPr>
            <w:r>
              <w:rPr>
                <w:rFonts w:hint="eastAsia" w:ascii="宋体" w:hAnsi="宋体" w:eastAsia="宋体" w:cs="宋体"/>
                <w:b/>
                <w:bCs/>
                <w:sz w:val="24"/>
                <w:szCs w:val="24"/>
              </w:rPr>
              <w:t>四川攀西高速公路开发股份有限公</w:t>
            </w:r>
          </w:p>
          <w:p>
            <w:pPr>
              <w:widowControl/>
              <w:spacing w:line="380" w:lineRule="exact"/>
              <w:rPr>
                <w:rFonts w:ascii="宋体" w:hAnsi="宋体" w:eastAsia="宋体" w:cs="宋体"/>
                <w:b/>
                <w:bCs/>
                <w:sz w:val="24"/>
                <w:szCs w:val="24"/>
              </w:rPr>
            </w:pPr>
            <w:r>
              <w:rPr>
                <w:rFonts w:hint="eastAsia" w:ascii="宋体" w:hAnsi="宋体" w:eastAsia="宋体" w:cs="宋体"/>
                <w:b/>
                <w:bCs/>
                <w:sz w:val="24"/>
                <w:szCs w:val="24"/>
              </w:rPr>
              <w:t>司安全体系建设技术服务</w:t>
            </w:r>
          </w:p>
        </w:tc>
        <w:tc>
          <w:tcPr>
            <w:tcW w:w="1341" w:type="dxa"/>
            <w:tcBorders>
              <w:top w:val="single" w:color="auto" w:sz="4" w:space="0"/>
              <w:left w:val="single" w:color="auto" w:sz="4" w:space="0"/>
              <w:right w:val="single" w:color="auto" w:sz="4" w:space="0"/>
              <w:tl2br w:val="nil"/>
              <w:tr2bl w:val="nil"/>
            </w:tcBorders>
            <w:shd w:val="clear" w:color="000000" w:fill="FFFFFF"/>
            <w:vAlign w:val="center"/>
          </w:tcPr>
          <w:p>
            <w:pPr>
              <w:widowControl/>
              <w:jc w:val="center"/>
              <w:rPr>
                <w:rFonts w:ascii="宋体" w:hAnsi="宋体" w:eastAsia="宋体" w:cs="宋体"/>
                <w:b/>
                <w:sz w:val="24"/>
                <w:szCs w:val="24"/>
              </w:rPr>
            </w:pPr>
          </w:p>
        </w:tc>
        <w:tc>
          <w:tcPr>
            <w:tcW w:w="1427" w:type="dxa"/>
            <w:tcBorders>
              <w:top w:val="single" w:color="auto" w:sz="4" w:space="0"/>
              <w:left w:val="single" w:color="auto" w:sz="4" w:space="0"/>
              <w:right w:val="single" w:color="auto" w:sz="4" w:space="0"/>
              <w:tl2br w:val="nil"/>
              <w:tr2bl w:val="nil"/>
            </w:tcBorders>
            <w:shd w:val="clear" w:color="000000" w:fill="FFFFFF"/>
            <w:vAlign w:val="center"/>
          </w:tcPr>
          <w:p>
            <w:pPr>
              <w:widowControl/>
              <w:jc w:val="center"/>
              <w:rPr>
                <w:rFonts w:ascii="宋体" w:hAnsi="宋体" w:eastAsia="宋体" w:cs="宋体"/>
                <w:b/>
                <w:sz w:val="24"/>
                <w:szCs w:val="24"/>
              </w:rPr>
            </w:pPr>
          </w:p>
        </w:tc>
        <w:tc>
          <w:tcPr>
            <w:tcW w:w="1645" w:type="dxa"/>
            <w:gridSpan w:val="2"/>
            <w:tcBorders>
              <w:top w:val="single" w:color="auto" w:sz="4" w:space="0"/>
              <w:left w:val="single" w:color="auto" w:sz="4" w:space="0"/>
              <w:right w:val="single" w:color="auto" w:sz="4" w:space="0"/>
              <w:tl2br w:val="nil"/>
              <w:tr2bl w:val="nil"/>
            </w:tcBorders>
            <w:shd w:val="clear" w:color="000000" w:fill="FFFFFF"/>
            <w:vAlign w:val="center"/>
          </w:tcPr>
          <w:p>
            <w:pPr>
              <w:widowControl/>
              <w:jc w:val="center"/>
              <w:rPr>
                <w:rFonts w:ascii="宋体" w:hAnsi="宋体" w:eastAsia="宋体" w:cs="宋体"/>
                <w:b/>
                <w:sz w:val="24"/>
                <w:szCs w:val="24"/>
              </w:rPr>
            </w:pPr>
          </w:p>
        </w:tc>
      </w:tr>
      <w:tr>
        <w:tblPrEx>
          <w:tblCellMar>
            <w:top w:w="0" w:type="dxa"/>
            <w:left w:w="108" w:type="dxa"/>
            <w:bottom w:w="0" w:type="dxa"/>
            <w:right w:w="108" w:type="dxa"/>
          </w:tblCellMar>
        </w:tblPrEx>
        <w:trPr>
          <w:trHeight w:val="374" w:hRule="atLeast"/>
        </w:trPr>
        <w:tc>
          <w:tcPr>
            <w:tcW w:w="8296" w:type="dxa"/>
            <w:gridSpan w:val="5"/>
            <w:tcBorders>
              <w:top w:val="single" w:color="auto" w:sz="4" w:space="0"/>
              <w:left w:val="single" w:color="auto" w:sz="4" w:space="0"/>
              <w:bottom w:val="single" w:color="auto" w:sz="4" w:space="0"/>
              <w:right w:val="single" w:color="auto" w:sz="4" w:space="0"/>
              <w:tl2br w:val="nil"/>
              <w:tr2bl w:val="nil"/>
            </w:tcBorders>
            <w:shd w:val="clear" w:color="000000" w:fill="FFFFFF"/>
          </w:tcPr>
          <w:p>
            <w:pPr>
              <w:widowControl/>
              <w:jc w:val="center"/>
              <w:rPr>
                <w:rFonts w:ascii="宋体" w:hAnsi="宋体" w:eastAsia="宋体" w:cs="宋体"/>
                <w:sz w:val="24"/>
                <w:szCs w:val="24"/>
              </w:rPr>
            </w:pPr>
            <w:r>
              <w:rPr>
                <w:rFonts w:hint="eastAsia" w:ascii="宋体" w:hAnsi="宋体" w:eastAsia="宋体" w:cs="宋体"/>
                <w:b/>
                <w:sz w:val="24"/>
                <w:szCs w:val="24"/>
              </w:rPr>
              <w:t>合计（含税）¥：</w:t>
            </w:r>
            <w:r>
              <w:rPr>
                <w:rFonts w:hint="eastAsia" w:ascii="宋体" w:hAnsi="宋体" w:eastAsia="宋体" w:cs="宋体"/>
                <w:b/>
                <w:sz w:val="24"/>
                <w:szCs w:val="24"/>
                <w:u w:val="single"/>
              </w:rPr>
              <w:t xml:space="preserve">     </w:t>
            </w:r>
            <w:r>
              <w:rPr>
                <w:rFonts w:hint="eastAsia" w:ascii="宋体" w:hAnsi="宋体" w:eastAsia="宋体" w:cs="宋体"/>
                <w:b/>
                <w:sz w:val="24"/>
                <w:szCs w:val="24"/>
              </w:rPr>
              <w:t>元（人民币大写：</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p>
        </w:tc>
      </w:tr>
    </w:tbl>
    <w:p>
      <w:pPr>
        <w:pStyle w:val="20"/>
        <w:spacing w:line="380" w:lineRule="exact"/>
        <w:ind w:left="420" w:firstLine="0" w:firstLineChars="0"/>
        <w:jc w:val="left"/>
        <w:rPr>
          <w:rFonts w:ascii="宋体" w:hAnsi="宋体" w:eastAsia="宋体" w:cs="宋体"/>
          <w:sz w:val="24"/>
          <w:szCs w:val="24"/>
        </w:rPr>
      </w:pP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注：</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1、以上报价为报价人完成本项目服务及询价函要求工作所需的全部费用，包含但不限于以下费用：</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⑴已缴纳及应缴纳的全部关税、增值税和其他税费；报价人应开具增值税专用发票。</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⑵完成工作相关的其他伴随费用；</w:t>
      </w:r>
    </w:p>
    <w:p>
      <w:pPr>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2、报价人应以人民币进行报价，须一次报出不得更改的价格，成交后不作调整。</w:t>
      </w:r>
    </w:p>
    <w:p>
      <w:pPr>
        <w:spacing w:line="380" w:lineRule="exact"/>
        <w:ind w:firstLine="480" w:firstLineChars="200"/>
        <w:jc w:val="left"/>
        <w:rPr>
          <w:rFonts w:ascii="宋体" w:hAnsi="宋体" w:eastAsia="宋体" w:cs="宋体"/>
          <w:bCs/>
          <w:sz w:val="24"/>
          <w:szCs w:val="24"/>
        </w:rPr>
      </w:pPr>
      <w:r>
        <w:rPr>
          <w:rFonts w:hint="eastAsia" w:ascii="宋体" w:hAnsi="宋体" w:eastAsia="宋体" w:cs="宋体"/>
          <w:sz w:val="24"/>
          <w:szCs w:val="24"/>
        </w:rPr>
        <w:t>3、</w:t>
      </w:r>
      <w:r>
        <w:rPr>
          <w:rFonts w:hint="eastAsia" w:ascii="宋体" w:hAnsi="宋体" w:eastAsia="宋体" w:cs="宋体"/>
          <w:bCs/>
          <w:sz w:val="24"/>
          <w:szCs w:val="24"/>
        </w:rPr>
        <w:t>采购人将以该表中</w:t>
      </w:r>
      <w:r>
        <w:rPr>
          <w:rFonts w:hint="eastAsia" w:ascii="宋体" w:hAnsi="宋体" w:eastAsia="宋体" w:cs="宋体"/>
          <w:b/>
          <w:bCs/>
          <w:sz w:val="24"/>
          <w:szCs w:val="24"/>
          <w:u w:val="single"/>
        </w:rPr>
        <w:t>合计金额</w:t>
      </w:r>
      <w:r>
        <w:rPr>
          <w:rFonts w:hint="eastAsia" w:ascii="宋体" w:hAnsi="宋体" w:eastAsia="宋体" w:cs="宋体"/>
          <w:bCs/>
          <w:sz w:val="24"/>
          <w:szCs w:val="24"/>
        </w:rPr>
        <w:t>作为评审依据。</w:t>
      </w:r>
    </w:p>
    <w:p>
      <w:pPr>
        <w:spacing w:line="380" w:lineRule="exact"/>
        <w:ind w:firstLine="480" w:firstLineChars="200"/>
        <w:jc w:val="left"/>
        <w:rPr>
          <w:rFonts w:ascii="宋体" w:hAnsi="宋体" w:eastAsia="宋体" w:cs="宋体"/>
          <w:bCs/>
          <w:sz w:val="24"/>
          <w:szCs w:val="24"/>
        </w:rPr>
      </w:pPr>
    </w:p>
    <w:p>
      <w:pPr>
        <w:spacing w:line="380" w:lineRule="exact"/>
        <w:ind w:firstLine="480" w:firstLineChars="200"/>
        <w:jc w:val="left"/>
        <w:rPr>
          <w:rFonts w:ascii="宋体" w:hAnsi="宋体" w:eastAsia="宋体" w:cs="宋体"/>
          <w:bCs/>
          <w:sz w:val="24"/>
          <w:szCs w:val="24"/>
        </w:rPr>
      </w:pPr>
    </w:p>
    <w:p>
      <w:pPr>
        <w:spacing w:line="380" w:lineRule="exact"/>
        <w:ind w:firstLine="480" w:firstLineChars="200"/>
        <w:jc w:val="left"/>
        <w:rPr>
          <w:rFonts w:ascii="宋体" w:hAnsi="宋体" w:eastAsia="宋体" w:cs="宋体"/>
          <w:bCs/>
          <w:sz w:val="24"/>
          <w:szCs w:val="24"/>
        </w:rPr>
      </w:pPr>
    </w:p>
    <w:p>
      <w:pPr>
        <w:ind w:left="420" w:right="126" w:firstLine="3840" w:firstLineChars="1600"/>
        <w:jc w:val="left"/>
        <w:rPr>
          <w:rFonts w:ascii="宋体" w:hAnsi="宋体" w:eastAsia="宋体" w:cs="宋体"/>
          <w:bCs/>
          <w:sz w:val="24"/>
          <w:szCs w:val="24"/>
        </w:rPr>
      </w:pPr>
      <w:r>
        <w:rPr>
          <w:rFonts w:hint="eastAsia" w:ascii="宋体" w:hAnsi="宋体" w:eastAsia="宋体" w:cs="宋体"/>
          <w:bCs/>
          <w:sz w:val="24"/>
          <w:szCs w:val="24"/>
        </w:rPr>
        <w:t xml:space="preserve">报价人: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(盖章)</w:t>
      </w:r>
    </w:p>
    <w:p>
      <w:pP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ascii="宋体" w:hAnsi="宋体" w:eastAsia="宋体" w:cs="宋体"/>
          <w:sz w:val="24"/>
          <w:szCs w:val="24"/>
        </w:rPr>
      </w:pPr>
      <w:bookmarkStart w:id="0" w:name="_Toc525996524"/>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672145"/>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D640B"/>
    <w:multiLevelType w:val="multilevel"/>
    <w:tmpl w:val="32FD64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583C6D"/>
    <w:multiLevelType w:val="multilevel"/>
    <w:tmpl w:val="38583C6D"/>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D873FB"/>
    <w:multiLevelType w:val="multilevel"/>
    <w:tmpl w:val="77D873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15"/>
    <w:rsid w:val="00014BDF"/>
    <w:rsid w:val="0001578F"/>
    <w:rsid w:val="00022764"/>
    <w:rsid w:val="0002452C"/>
    <w:rsid w:val="00024A82"/>
    <w:rsid w:val="00025248"/>
    <w:rsid w:val="0002555A"/>
    <w:rsid w:val="00026F9B"/>
    <w:rsid w:val="000272BB"/>
    <w:rsid w:val="00040906"/>
    <w:rsid w:val="000541CB"/>
    <w:rsid w:val="00054498"/>
    <w:rsid w:val="0007129E"/>
    <w:rsid w:val="00073138"/>
    <w:rsid w:val="000744DB"/>
    <w:rsid w:val="00081618"/>
    <w:rsid w:val="000816F2"/>
    <w:rsid w:val="000820A8"/>
    <w:rsid w:val="00085AFF"/>
    <w:rsid w:val="000872FE"/>
    <w:rsid w:val="00097516"/>
    <w:rsid w:val="000C52E1"/>
    <w:rsid w:val="000C5A8D"/>
    <w:rsid w:val="000D0479"/>
    <w:rsid w:val="000D1747"/>
    <w:rsid w:val="000D3AF4"/>
    <w:rsid w:val="000F3DD5"/>
    <w:rsid w:val="000F58CD"/>
    <w:rsid w:val="00101C51"/>
    <w:rsid w:val="00113B93"/>
    <w:rsid w:val="00116C1E"/>
    <w:rsid w:val="00117C53"/>
    <w:rsid w:val="001315C5"/>
    <w:rsid w:val="0013742F"/>
    <w:rsid w:val="001541FC"/>
    <w:rsid w:val="00157B69"/>
    <w:rsid w:val="00161976"/>
    <w:rsid w:val="00163B7F"/>
    <w:rsid w:val="00166902"/>
    <w:rsid w:val="001674D1"/>
    <w:rsid w:val="001719F7"/>
    <w:rsid w:val="00172593"/>
    <w:rsid w:val="00181168"/>
    <w:rsid w:val="00182019"/>
    <w:rsid w:val="00192503"/>
    <w:rsid w:val="00193699"/>
    <w:rsid w:val="00196904"/>
    <w:rsid w:val="001A24FC"/>
    <w:rsid w:val="001A3B5E"/>
    <w:rsid w:val="001A4DFC"/>
    <w:rsid w:val="001A7FE1"/>
    <w:rsid w:val="001C54C3"/>
    <w:rsid w:val="001C744E"/>
    <w:rsid w:val="001C7618"/>
    <w:rsid w:val="001D323A"/>
    <w:rsid w:val="001D6FF2"/>
    <w:rsid w:val="001E4A70"/>
    <w:rsid w:val="001F0916"/>
    <w:rsid w:val="001F3020"/>
    <w:rsid w:val="001F41EA"/>
    <w:rsid w:val="001F7761"/>
    <w:rsid w:val="00202056"/>
    <w:rsid w:val="00203B09"/>
    <w:rsid w:val="00207869"/>
    <w:rsid w:val="00210B7B"/>
    <w:rsid w:val="00214E91"/>
    <w:rsid w:val="00214FDF"/>
    <w:rsid w:val="00222B3E"/>
    <w:rsid w:val="00231E04"/>
    <w:rsid w:val="00231E19"/>
    <w:rsid w:val="0023300A"/>
    <w:rsid w:val="002561B1"/>
    <w:rsid w:val="00277375"/>
    <w:rsid w:val="00277A39"/>
    <w:rsid w:val="002A16BE"/>
    <w:rsid w:val="002A2018"/>
    <w:rsid w:val="002A4B88"/>
    <w:rsid w:val="002A6745"/>
    <w:rsid w:val="002D1A87"/>
    <w:rsid w:val="002D1B22"/>
    <w:rsid w:val="002E6169"/>
    <w:rsid w:val="002F40DB"/>
    <w:rsid w:val="002F4206"/>
    <w:rsid w:val="002F4CF3"/>
    <w:rsid w:val="00316A21"/>
    <w:rsid w:val="00320159"/>
    <w:rsid w:val="00334B86"/>
    <w:rsid w:val="003475A2"/>
    <w:rsid w:val="00352533"/>
    <w:rsid w:val="003567E8"/>
    <w:rsid w:val="00362C21"/>
    <w:rsid w:val="00364DBA"/>
    <w:rsid w:val="003676DC"/>
    <w:rsid w:val="00372C4F"/>
    <w:rsid w:val="00373679"/>
    <w:rsid w:val="0037542F"/>
    <w:rsid w:val="003779FF"/>
    <w:rsid w:val="003803A9"/>
    <w:rsid w:val="00381FC3"/>
    <w:rsid w:val="00385849"/>
    <w:rsid w:val="003859E4"/>
    <w:rsid w:val="00387147"/>
    <w:rsid w:val="00391BAD"/>
    <w:rsid w:val="00396F5F"/>
    <w:rsid w:val="003A23D1"/>
    <w:rsid w:val="003C15B6"/>
    <w:rsid w:val="003C354A"/>
    <w:rsid w:val="003C3BA4"/>
    <w:rsid w:val="003D16AA"/>
    <w:rsid w:val="003E6953"/>
    <w:rsid w:val="00404B4B"/>
    <w:rsid w:val="0040649E"/>
    <w:rsid w:val="004073A5"/>
    <w:rsid w:val="00407789"/>
    <w:rsid w:val="00411F41"/>
    <w:rsid w:val="00413954"/>
    <w:rsid w:val="00415841"/>
    <w:rsid w:val="00422B92"/>
    <w:rsid w:val="004329AF"/>
    <w:rsid w:val="00436B61"/>
    <w:rsid w:val="00436EA7"/>
    <w:rsid w:val="00450D34"/>
    <w:rsid w:val="00453598"/>
    <w:rsid w:val="004617E2"/>
    <w:rsid w:val="00471D4C"/>
    <w:rsid w:val="00474A46"/>
    <w:rsid w:val="00493285"/>
    <w:rsid w:val="004A2764"/>
    <w:rsid w:val="004A28AF"/>
    <w:rsid w:val="004A6AE9"/>
    <w:rsid w:val="004A6B05"/>
    <w:rsid w:val="004B347F"/>
    <w:rsid w:val="004B3690"/>
    <w:rsid w:val="004C2671"/>
    <w:rsid w:val="004C6CA5"/>
    <w:rsid w:val="004D191C"/>
    <w:rsid w:val="004D2044"/>
    <w:rsid w:val="004D2D1B"/>
    <w:rsid w:val="004D4099"/>
    <w:rsid w:val="004D425C"/>
    <w:rsid w:val="004E2E15"/>
    <w:rsid w:val="004E57E3"/>
    <w:rsid w:val="004E7ECE"/>
    <w:rsid w:val="00503CFB"/>
    <w:rsid w:val="005046B9"/>
    <w:rsid w:val="00513A5C"/>
    <w:rsid w:val="0051513A"/>
    <w:rsid w:val="00521B85"/>
    <w:rsid w:val="00521DD5"/>
    <w:rsid w:val="0052322B"/>
    <w:rsid w:val="00531A24"/>
    <w:rsid w:val="00545B2B"/>
    <w:rsid w:val="00550992"/>
    <w:rsid w:val="005532F0"/>
    <w:rsid w:val="005629FD"/>
    <w:rsid w:val="00562B2C"/>
    <w:rsid w:val="0057151B"/>
    <w:rsid w:val="00571F61"/>
    <w:rsid w:val="0057284D"/>
    <w:rsid w:val="00580F2D"/>
    <w:rsid w:val="00584F2F"/>
    <w:rsid w:val="005870A0"/>
    <w:rsid w:val="005944FB"/>
    <w:rsid w:val="00597E79"/>
    <w:rsid w:val="005A1E1E"/>
    <w:rsid w:val="005A2743"/>
    <w:rsid w:val="005A3A68"/>
    <w:rsid w:val="005B031D"/>
    <w:rsid w:val="005B09B9"/>
    <w:rsid w:val="005B5922"/>
    <w:rsid w:val="005B6CB0"/>
    <w:rsid w:val="005C0674"/>
    <w:rsid w:val="005C4A7A"/>
    <w:rsid w:val="005C7438"/>
    <w:rsid w:val="005D116C"/>
    <w:rsid w:val="005D5E0A"/>
    <w:rsid w:val="005E0D4A"/>
    <w:rsid w:val="005E3B72"/>
    <w:rsid w:val="005F1A57"/>
    <w:rsid w:val="005F4608"/>
    <w:rsid w:val="0060282C"/>
    <w:rsid w:val="00607493"/>
    <w:rsid w:val="006104E3"/>
    <w:rsid w:val="0061617D"/>
    <w:rsid w:val="006170E5"/>
    <w:rsid w:val="006174D2"/>
    <w:rsid w:val="00626C48"/>
    <w:rsid w:val="00641824"/>
    <w:rsid w:val="0064302A"/>
    <w:rsid w:val="00650461"/>
    <w:rsid w:val="00650C15"/>
    <w:rsid w:val="006520F4"/>
    <w:rsid w:val="00654756"/>
    <w:rsid w:val="0065536D"/>
    <w:rsid w:val="006615A5"/>
    <w:rsid w:val="00680FF1"/>
    <w:rsid w:val="0068200D"/>
    <w:rsid w:val="006837D9"/>
    <w:rsid w:val="00690C8A"/>
    <w:rsid w:val="006A3267"/>
    <w:rsid w:val="006A627A"/>
    <w:rsid w:val="006B48A0"/>
    <w:rsid w:val="006B49ED"/>
    <w:rsid w:val="006C70DF"/>
    <w:rsid w:val="006E43A0"/>
    <w:rsid w:val="006F2E6C"/>
    <w:rsid w:val="006F410C"/>
    <w:rsid w:val="006F581F"/>
    <w:rsid w:val="0070229A"/>
    <w:rsid w:val="00702647"/>
    <w:rsid w:val="00705AF3"/>
    <w:rsid w:val="00707AD5"/>
    <w:rsid w:val="00725BA2"/>
    <w:rsid w:val="007301E2"/>
    <w:rsid w:val="00731563"/>
    <w:rsid w:val="0073563B"/>
    <w:rsid w:val="00750530"/>
    <w:rsid w:val="0075168D"/>
    <w:rsid w:val="00755A0B"/>
    <w:rsid w:val="0077438D"/>
    <w:rsid w:val="00777D43"/>
    <w:rsid w:val="0078400A"/>
    <w:rsid w:val="007A23F0"/>
    <w:rsid w:val="007B02A5"/>
    <w:rsid w:val="007B66E6"/>
    <w:rsid w:val="007C19E1"/>
    <w:rsid w:val="007C5B9B"/>
    <w:rsid w:val="007E2738"/>
    <w:rsid w:val="007F6E6A"/>
    <w:rsid w:val="008001A0"/>
    <w:rsid w:val="00811569"/>
    <w:rsid w:val="0081333C"/>
    <w:rsid w:val="00813B21"/>
    <w:rsid w:val="0081653E"/>
    <w:rsid w:val="0082038E"/>
    <w:rsid w:val="00822761"/>
    <w:rsid w:val="00832DD1"/>
    <w:rsid w:val="00841BEF"/>
    <w:rsid w:val="00844D05"/>
    <w:rsid w:val="00847204"/>
    <w:rsid w:val="00851197"/>
    <w:rsid w:val="00861DFF"/>
    <w:rsid w:val="008625E3"/>
    <w:rsid w:val="00864463"/>
    <w:rsid w:val="008647F9"/>
    <w:rsid w:val="00864B4F"/>
    <w:rsid w:val="00880FDD"/>
    <w:rsid w:val="00881CDE"/>
    <w:rsid w:val="00882477"/>
    <w:rsid w:val="00890DA6"/>
    <w:rsid w:val="0089517B"/>
    <w:rsid w:val="008B11A2"/>
    <w:rsid w:val="008C0AB9"/>
    <w:rsid w:val="008C2FD5"/>
    <w:rsid w:val="008D3E5D"/>
    <w:rsid w:val="008E4AC8"/>
    <w:rsid w:val="008F1CDD"/>
    <w:rsid w:val="00902DD2"/>
    <w:rsid w:val="00907607"/>
    <w:rsid w:val="009079D1"/>
    <w:rsid w:val="009109EF"/>
    <w:rsid w:val="0091411A"/>
    <w:rsid w:val="00916B01"/>
    <w:rsid w:val="00925A4A"/>
    <w:rsid w:val="00932109"/>
    <w:rsid w:val="00940089"/>
    <w:rsid w:val="00947432"/>
    <w:rsid w:val="00951129"/>
    <w:rsid w:val="00953024"/>
    <w:rsid w:val="0096328F"/>
    <w:rsid w:val="00966FBC"/>
    <w:rsid w:val="00967F9B"/>
    <w:rsid w:val="0097697B"/>
    <w:rsid w:val="009769DA"/>
    <w:rsid w:val="0097767B"/>
    <w:rsid w:val="00984648"/>
    <w:rsid w:val="00985BF4"/>
    <w:rsid w:val="009867D0"/>
    <w:rsid w:val="00987AA0"/>
    <w:rsid w:val="00994A14"/>
    <w:rsid w:val="00996B27"/>
    <w:rsid w:val="009A311F"/>
    <w:rsid w:val="009A68A0"/>
    <w:rsid w:val="009B021E"/>
    <w:rsid w:val="009B0C6E"/>
    <w:rsid w:val="009B21C1"/>
    <w:rsid w:val="009B52B6"/>
    <w:rsid w:val="009C328C"/>
    <w:rsid w:val="009C4596"/>
    <w:rsid w:val="009E390B"/>
    <w:rsid w:val="009E5608"/>
    <w:rsid w:val="00A003A0"/>
    <w:rsid w:val="00A01D32"/>
    <w:rsid w:val="00A03B18"/>
    <w:rsid w:val="00A14D28"/>
    <w:rsid w:val="00A27B8B"/>
    <w:rsid w:val="00A35EAB"/>
    <w:rsid w:val="00A53068"/>
    <w:rsid w:val="00A57B04"/>
    <w:rsid w:val="00A600D5"/>
    <w:rsid w:val="00A6710B"/>
    <w:rsid w:val="00A706FD"/>
    <w:rsid w:val="00A722AE"/>
    <w:rsid w:val="00A72860"/>
    <w:rsid w:val="00A83284"/>
    <w:rsid w:val="00A845C5"/>
    <w:rsid w:val="00A85BA6"/>
    <w:rsid w:val="00A91810"/>
    <w:rsid w:val="00AA1E8C"/>
    <w:rsid w:val="00AB04D1"/>
    <w:rsid w:val="00AB3ABD"/>
    <w:rsid w:val="00AC26C7"/>
    <w:rsid w:val="00AC3E63"/>
    <w:rsid w:val="00AF3190"/>
    <w:rsid w:val="00B13924"/>
    <w:rsid w:val="00B141A4"/>
    <w:rsid w:val="00B17F7C"/>
    <w:rsid w:val="00B256B5"/>
    <w:rsid w:val="00B340E1"/>
    <w:rsid w:val="00B43386"/>
    <w:rsid w:val="00B439E2"/>
    <w:rsid w:val="00B46986"/>
    <w:rsid w:val="00B47EBF"/>
    <w:rsid w:val="00B60498"/>
    <w:rsid w:val="00B60D1C"/>
    <w:rsid w:val="00B62D3B"/>
    <w:rsid w:val="00B6357D"/>
    <w:rsid w:val="00B70ECF"/>
    <w:rsid w:val="00B715E1"/>
    <w:rsid w:val="00B74839"/>
    <w:rsid w:val="00B758EB"/>
    <w:rsid w:val="00B824E1"/>
    <w:rsid w:val="00B8789E"/>
    <w:rsid w:val="00B97014"/>
    <w:rsid w:val="00BC3F1E"/>
    <w:rsid w:val="00BD00B7"/>
    <w:rsid w:val="00BD0F20"/>
    <w:rsid w:val="00BE6388"/>
    <w:rsid w:val="00BF62C8"/>
    <w:rsid w:val="00C002E8"/>
    <w:rsid w:val="00C02AEC"/>
    <w:rsid w:val="00C03F1C"/>
    <w:rsid w:val="00C1140B"/>
    <w:rsid w:val="00C206D8"/>
    <w:rsid w:val="00C209E4"/>
    <w:rsid w:val="00C21344"/>
    <w:rsid w:val="00C21934"/>
    <w:rsid w:val="00C21A03"/>
    <w:rsid w:val="00C21CAC"/>
    <w:rsid w:val="00C272C9"/>
    <w:rsid w:val="00C27679"/>
    <w:rsid w:val="00C33C2C"/>
    <w:rsid w:val="00C37A8E"/>
    <w:rsid w:val="00C44D48"/>
    <w:rsid w:val="00C52719"/>
    <w:rsid w:val="00C57984"/>
    <w:rsid w:val="00C57FE3"/>
    <w:rsid w:val="00C609C8"/>
    <w:rsid w:val="00C6106F"/>
    <w:rsid w:val="00C6276D"/>
    <w:rsid w:val="00C64A5B"/>
    <w:rsid w:val="00C64B05"/>
    <w:rsid w:val="00C67ECB"/>
    <w:rsid w:val="00C74477"/>
    <w:rsid w:val="00C76577"/>
    <w:rsid w:val="00C77419"/>
    <w:rsid w:val="00C77624"/>
    <w:rsid w:val="00C8293A"/>
    <w:rsid w:val="00C83E8C"/>
    <w:rsid w:val="00C95BA0"/>
    <w:rsid w:val="00CA1735"/>
    <w:rsid w:val="00CA2238"/>
    <w:rsid w:val="00CA3104"/>
    <w:rsid w:val="00CC20D5"/>
    <w:rsid w:val="00CC3AB7"/>
    <w:rsid w:val="00CD04FC"/>
    <w:rsid w:val="00CD28C7"/>
    <w:rsid w:val="00CD34B7"/>
    <w:rsid w:val="00CD7014"/>
    <w:rsid w:val="00CE3A76"/>
    <w:rsid w:val="00CE47C3"/>
    <w:rsid w:val="00CE74DF"/>
    <w:rsid w:val="00CF5CA3"/>
    <w:rsid w:val="00CF7CDC"/>
    <w:rsid w:val="00D02441"/>
    <w:rsid w:val="00D10AF2"/>
    <w:rsid w:val="00D24A9A"/>
    <w:rsid w:val="00D41C29"/>
    <w:rsid w:val="00D43D67"/>
    <w:rsid w:val="00D45783"/>
    <w:rsid w:val="00D50953"/>
    <w:rsid w:val="00D511D6"/>
    <w:rsid w:val="00D6291E"/>
    <w:rsid w:val="00D64B91"/>
    <w:rsid w:val="00D65147"/>
    <w:rsid w:val="00D70395"/>
    <w:rsid w:val="00D74DFD"/>
    <w:rsid w:val="00D813F5"/>
    <w:rsid w:val="00D82EFB"/>
    <w:rsid w:val="00D95C9C"/>
    <w:rsid w:val="00DA1D29"/>
    <w:rsid w:val="00DA70F7"/>
    <w:rsid w:val="00DB7D3F"/>
    <w:rsid w:val="00DC448A"/>
    <w:rsid w:val="00DD5774"/>
    <w:rsid w:val="00DD7C15"/>
    <w:rsid w:val="00DE10B8"/>
    <w:rsid w:val="00DE14CE"/>
    <w:rsid w:val="00DE2D99"/>
    <w:rsid w:val="00DF099C"/>
    <w:rsid w:val="00DF3AC3"/>
    <w:rsid w:val="00DF4425"/>
    <w:rsid w:val="00DF6409"/>
    <w:rsid w:val="00E0430F"/>
    <w:rsid w:val="00E04866"/>
    <w:rsid w:val="00E05121"/>
    <w:rsid w:val="00E05BD9"/>
    <w:rsid w:val="00E179B1"/>
    <w:rsid w:val="00E363B5"/>
    <w:rsid w:val="00E41D88"/>
    <w:rsid w:val="00E5041E"/>
    <w:rsid w:val="00E522AC"/>
    <w:rsid w:val="00E53E67"/>
    <w:rsid w:val="00E6186A"/>
    <w:rsid w:val="00E6239C"/>
    <w:rsid w:val="00E64F3D"/>
    <w:rsid w:val="00E668DF"/>
    <w:rsid w:val="00E67560"/>
    <w:rsid w:val="00E73836"/>
    <w:rsid w:val="00E7526D"/>
    <w:rsid w:val="00E846A5"/>
    <w:rsid w:val="00E90606"/>
    <w:rsid w:val="00E9193C"/>
    <w:rsid w:val="00E9232E"/>
    <w:rsid w:val="00E952F6"/>
    <w:rsid w:val="00E95DD7"/>
    <w:rsid w:val="00E97216"/>
    <w:rsid w:val="00EA452B"/>
    <w:rsid w:val="00EB19C1"/>
    <w:rsid w:val="00EC2329"/>
    <w:rsid w:val="00EC5306"/>
    <w:rsid w:val="00ED370A"/>
    <w:rsid w:val="00ED56ED"/>
    <w:rsid w:val="00EE0B5F"/>
    <w:rsid w:val="00F10070"/>
    <w:rsid w:val="00F1225C"/>
    <w:rsid w:val="00F4204E"/>
    <w:rsid w:val="00F5549B"/>
    <w:rsid w:val="00F6025F"/>
    <w:rsid w:val="00F65B0B"/>
    <w:rsid w:val="00F77C54"/>
    <w:rsid w:val="00F80E85"/>
    <w:rsid w:val="00F856E7"/>
    <w:rsid w:val="00F8721F"/>
    <w:rsid w:val="00F9064D"/>
    <w:rsid w:val="00F9652A"/>
    <w:rsid w:val="00F96DED"/>
    <w:rsid w:val="00FB0A5B"/>
    <w:rsid w:val="00FB2830"/>
    <w:rsid w:val="00FD01A4"/>
    <w:rsid w:val="00FD48B8"/>
    <w:rsid w:val="00FE56A4"/>
    <w:rsid w:val="0ADE56DE"/>
    <w:rsid w:val="0EB32E17"/>
    <w:rsid w:val="17611931"/>
    <w:rsid w:val="1A7F221B"/>
    <w:rsid w:val="21C91FC6"/>
    <w:rsid w:val="2709250F"/>
    <w:rsid w:val="29F81EB7"/>
    <w:rsid w:val="2F861191"/>
    <w:rsid w:val="38C750F6"/>
    <w:rsid w:val="42D757F2"/>
    <w:rsid w:val="4DF37914"/>
    <w:rsid w:val="6B234F38"/>
    <w:rsid w:val="71D64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unhideWhenUsed/>
    <w:qFormat/>
    <w:uiPriority w:val="0"/>
    <w:pPr>
      <w:keepNext/>
      <w:keepLines/>
      <w:spacing w:before="240" w:after="240" w:line="500" w:lineRule="exact"/>
      <w:jc w:val="center"/>
      <w:outlineLvl w:val="0"/>
    </w:pPr>
    <w:rPr>
      <w:b/>
      <w:kern w:val="44"/>
      <w:sz w:val="30"/>
      <w:szCs w:val="2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200" w:firstLineChars="200"/>
    </w:pPr>
  </w:style>
  <w:style w:type="paragraph" w:styleId="5">
    <w:name w:val="Normal Indent"/>
    <w:basedOn w:val="1"/>
    <w:unhideWhenUsed/>
    <w:qFormat/>
    <w:uiPriority w:val="0"/>
    <w:pPr>
      <w:widowControl/>
      <w:spacing w:line="240" w:lineRule="auto"/>
      <w:ind w:firstLine="420"/>
      <w:jc w:val="left"/>
    </w:pPr>
    <w:rPr>
      <w:rFonts w:ascii="Times New Roman" w:hAnsi="Times New Roman" w:eastAsia="宋体"/>
      <w:kern w:val="0"/>
      <w:sz w:val="20"/>
      <w:szCs w:val="24"/>
    </w:rPr>
  </w:style>
  <w:style w:type="paragraph" w:styleId="6">
    <w:name w:val="annotation text"/>
    <w:basedOn w:val="1"/>
    <w:link w:val="25"/>
    <w:semiHidden/>
    <w:unhideWhenUsed/>
    <w:qFormat/>
    <w:uiPriority w:val="99"/>
    <w:pPr>
      <w:jc w:val="left"/>
    </w:pPr>
  </w:style>
  <w:style w:type="paragraph" w:styleId="7">
    <w:name w:val="Body Text"/>
    <w:basedOn w:val="1"/>
    <w:link w:val="30"/>
    <w:unhideWhenUsed/>
    <w:qFormat/>
    <w:uiPriority w:val="99"/>
    <w:pPr>
      <w:spacing w:after="120"/>
    </w:pPr>
  </w:style>
  <w:style w:type="paragraph" w:styleId="8">
    <w:name w:val="Body Text Indent"/>
    <w:basedOn w:val="1"/>
    <w:qFormat/>
    <w:uiPriority w:val="0"/>
    <w:pPr>
      <w:ind w:firstLine="630"/>
    </w:pPr>
    <w:rPr>
      <w:sz w:val="32"/>
    </w:rPr>
  </w:style>
  <w:style w:type="paragraph" w:styleId="9">
    <w:name w:val="Date"/>
    <w:basedOn w:val="1"/>
    <w:next w:val="1"/>
    <w:link w:val="32"/>
    <w:qFormat/>
    <w:uiPriority w:val="0"/>
    <w:pPr>
      <w:spacing w:line="240" w:lineRule="auto"/>
      <w:ind w:left="100" w:leftChars="2500"/>
    </w:pPr>
    <w:rPr>
      <w:color w:val="000000"/>
      <w:szCs w:val="24"/>
    </w:rPr>
  </w:style>
  <w:style w:type="paragraph" w:styleId="10">
    <w:name w:val="Body Text Indent 2"/>
    <w:basedOn w:val="1"/>
    <w:link w:val="28"/>
    <w:qFormat/>
    <w:uiPriority w:val="0"/>
    <w:pPr>
      <w:spacing w:after="120" w:line="480" w:lineRule="auto"/>
      <w:ind w:left="420" w:leftChars="200"/>
    </w:pPr>
    <w:rPr>
      <w:rFonts w:ascii="Calibri" w:hAnsi="Calibri" w:eastAsia="宋体" w:cs="Times New Roman"/>
      <w:color w:val="000000"/>
      <w:szCs w:val="24"/>
    </w:rPr>
  </w:style>
  <w:style w:type="paragraph" w:styleId="11">
    <w:name w:val="Balloon Text"/>
    <w:basedOn w:val="1"/>
    <w:link w:val="24"/>
    <w:semiHidden/>
    <w:unhideWhenUsed/>
    <w:qFormat/>
    <w:uiPriority w:val="99"/>
    <w:pPr>
      <w:spacing w:line="240" w:lineRule="auto"/>
    </w:pPr>
    <w:rPr>
      <w:sz w:val="18"/>
      <w:szCs w:val="18"/>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6"/>
    <w:semiHidden/>
    <w:unhideWhenUsed/>
    <w:qFormat/>
    <w:uiPriority w:val="99"/>
    <w:rPr>
      <w:b/>
      <w:bCs/>
    </w:r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character" w:customStyle="1" w:styleId="22">
    <w:name w:val="样式 (中文) 仿宋_GB2312 小三"/>
    <w:qFormat/>
    <w:uiPriority w:val="0"/>
    <w:rPr>
      <w:rFonts w:eastAsia="宋体"/>
      <w:sz w:val="30"/>
    </w:rPr>
  </w:style>
  <w:style w:type="character" w:customStyle="1" w:styleId="23">
    <w:name w:val="标题 1 字符"/>
    <w:basedOn w:val="16"/>
    <w:link w:val="3"/>
    <w:qFormat/>
    <w:uiPriority w:val="0"/>
    <w:rPr>
      <w:b/>
      <w:kern w:val="44"/>
      <w:sz w:val="30"/>
      <w:szCs w:val="24"/>
    </w:rPr>
  </w:style>
  <w:style w:type="character" w:customStyle="1" w:styleId="24">
    <w:name w:val="批注框文本 字符"/>
    <w:basedOn w:val="16"/>
    <w:link w:val="11"/>
    <w:semiHidden/>
    <w:qFormat/>
    <w:uiPriority w:val="99"/>
    <w:rPr>
      <w:sz w:val="18"/>
      <w:szCs w:val="18"/>
    </w:rPr>
  </w:style>
  <w:style w:type="character" w:customStyle="1" w:styleId="25">
    <w:name w:val="批注文字 字符"/>
    <w:basedOn w:val="16"/>
    <w:link w:val="6"/>
    <w:semiHidden/>
    <w:qFormat/>
    <w:uiPriority w:val="99"/>
  </w:style>
  <w:style w:type="character" w:customStyle="1" w:styleId="26">
    <w:name w:val="批注主题 字符"/>
    <w:basedOn w:val="25"/>
    <w:link w:val="14"/>
    <w:semiHidden/>
    <w:qFormat/>
    <w:uiPriority w:val="99"/>
    <w:rPr>
      <w:b/>
      <w:bCs/>
    </w:rPr>
  </w:style>
  <w:style w:type="character" w:customStyle="1" w:styleId="27">
    <w:name w:val="msonormal"/>
    <w:basedOn w:val="16"/>
    <w:qFormat/>
    <w:uiPriority w:val="0"/>
  </w:style>
  <w:style w:type="character" w:customStyle="1" w:styleId="28">
    <w:name w:val="正文文本缩进 2 字符"/>
    <w:basedOn w:val="16"/>
    <w:link w:val="10"/>
    <w:qFormat/>
    <w:uiPriority w:val="0"/>
    <w:rPr>
      <w:rFonts w:ascii="Calibri" w:hAnsi="Calibri" w:eastAsia="宋体" w:cs="Times New Roman"/>
      <w:color w:val="000000"/>
      <w:szCs w:val="24"/>
    </w:rPr>
  </w:style>
  <w:style w:type="character" w:customStyle="1" w:styleId="29">
    <w:name w:val="正文文本缩进 2 字符1"/>
    <w:basedOn w:val="16"/>
    <w:semiHidden/>
    <w:qFormat/>
    <w:uiPriority w:val="99"/>
  </w:style>
  <w:style w:type="character" w:customStyle="1" w:styleId="30">
    <w:name w:val="正文文本 字符"/>
    <w:basedOn w:val="16"/>
    <w:link w:val="7"/>
    <w:qFormat/>
    <w:uiPriority w:val="99"/>
  </w:style>
  <w:style w:type="character" w:customStyle="1" w:styleId="31">
    <w:name w:val="标题 2 字符"/>
    <w:basedOn w:val="16"/>
    <w:link w:val="4"/>
    <w:qFormat/>
    <w:uiPriority w:val="9"/>
    <w:rPr>
      <w:rFonts w:asciiTheme="majorHAnsi" w:hAnsiTheme="majorHAnsi" w:eastAsiaTheme="majorEastAsia" w:cstheme="majorBidi"/>
      <w:b/>
      <w:bCs/>
      <w:sz w:val="32"/>
      <w:szCs w:val="32"/>
    </w:rPr>
  </w:style>
  <w:style w:type="character" w:customStyle="1" w:styleId="32">
    <w:name w:val="日期 字符"/>
    <w:link w:val="9"/>
    <w:qFormat/>
    <w:uiPriority w:val="0"/>
    <w:rPr>
      <w:color w:val="000000"/>
      <w:szCs w:val="24"/>
    </w:rPr>
  </w:style>
  <w:style w:type="character" w:customStyle="1" w:styleId="33">
    <w:name w:val="日期 字符1"/>
    <w:basedOn w:val="16"/>
    <w:semiHidden/>
    <w:qFormat/>
    <w:uiPriority w:val="99"/>
  </w:style>
  <w:style w:type="paragraph" w:customStyle="1" w:styleId="34">
    <w:name w:val="正文文本4"/>
    <w:basedOn w:val="1"/>
    <w:qFormat/>
    <w:uiPriority w:val="99"/>
    <w:pPr>
      <w:shd w:val="clear" w:color="auto" w:fill="FFFFFF"/>
      <w:spacing w:line="437" w:lineRule="exact"/>
      <w:jc w:val="distribute"/>
    </w:pPr>
    <w:rPr>
      <w:rFonts w:ascii="MingLiU" w:hAnsi="MingLiU" w:eastAsia="MingLiU" w:cs="MingLiU"/>
      <w:szCs w:val="21"/>
    </w:rPr>
  </w:style>
  <w:style w:type="paragraph" w:customStyle="1" w:styleId="35">
    <w:name w:val="Table Paragraph"/>
    <w:basedOn w:val="1"/>
    <w:qFormat/>
    <w:uiPriority w:val="1"/>
    <w:pPr>
      <w:jc w:val="left"/>
    </w:pPr>
    <w:rPr>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568</Words>
  <Characters>3242</Characters>
  <Lines>27</Lines>
  <Paragraphs>7</Paragraphs>
  <TotalTime>6</TotalTime>
  <ScaleCrop>false</ScaleCrop>
  <LinksUpToDate>false</LinksUpToDate>
  <CharactersWithSpaces>3803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2021-07-26T12:10:00Z</dcterms:created>
  <dc:creator>hua niu</dc:creator>
  <cp:lastModifiedBy>lenovo</cp:lastModifiedBy>
  <cp:lastPrinted>2020-07-14T02:29:00Z</cp:lastPrinted>
  <dcterms:modified xsi:type="dcterms:W3CDTF">2021-08-29T01:34:58Z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2DD9ABD769364F7A88B5174881182CBC</vt:lpwstr>
  </property>
</Properties>
</file>